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99" w:rsidRDefault="00F2056D" w:rsidP="00684CA1">
      <w:pPr>
        <w:jc w:val="center"/>
        <w:rPr>
          <w:b/>
          <w:sz w:val="36"/>
          <w:szCs w:val="36"/>
        </w:rPr>
      </w:pPr>
      <w:r>
        <w:rPr>
          <w:b/>
          <w:sz w:val="36"/>
          <w:szCs w:val="36"/>
        </w:rPr>
        <w:t>Catch-Up Premium Plan</w:t>
      </w:r>
    </w:p>
    <w:p w:rsidR="00F11F99" w:rsidRDefault="00FE3302" w:rsidP="00684CA1">
      <w:pPr>
        <w:jc w:val="center"/>
        <w:rPr>
          <w:b/>
          <w:sz w:val="36"/>
          <w:szCs w:val="36"/>
        </w:rPr>
      </w:pPr>
      <w:r>
        <w:rPr>
          <w:b/>
          <w:sz w:val="36"/>
          <w:szCs w:val="36"/>
        </w:rPr>
        <w:t xml:space="preserve">St </w:t>
      </w:r>
      <w:proofErr w:type="spellStart"/>
      <w:r>
        <w:rPr>
          <w:b/>
          <w:sz w:val="36"/>
          <w:szCs w:val="36"/>
        </w:rPr>
        <w:t>Werburgh’s</w:t>
      </w:r>
      <w:proofErr w:type="spellEnd"/>
      <w:r>
        <w:rPr>
          <w:b/>
          <w:sz w:val="36"/>
          <w:szCs w:val="36"/>
        </w:rPr>
        <w:t xml:space="preserve"> Catholic </w:t>
      </w:r>
      <w:r w:rsidR="00F2056D">
        <w:rPr>
          <w:b/>
          <w:sz w:val="36"/>
          <w:szCs w:val="36"/>
        </w:rPr>
        <w:t>Primary School</w:t>
      </w:r>
    </w:p>
    <w:p w:rsidR="00684CA1" w:rsidRDefault="00FE3302" w:rsidP="00684CA1">
      <w:pPr>
        <w:jc w:val="center"/>
        <w:rPr>
          <w:rFonts w:cs="Times New Roman"/>
          <w:b/>
          <w:noProof/>
        </w:rPr>
      </w:pPr>
      <w:r>
        <w:rPr>
          <w:b/>
          <w:noProof/>
          <w:sz w:val="36"/>
          <w:szCs w:val="36"/>
        </w:rPr>
        <w:drawing>
          <wp:anchor distT="0" distB="0" distL="114300" distR="114300" simplePos="0" relativeHeight="251658240" behindDoc="1" locked="0" layoutInCell="1" allowOverlap="1" wp14:anchorId="02AA5F0C" wp14:editId="5D0D08AE">
            <wp:simplePos x="0" y="0"/>
            <wp:positionH relativeFrom="column">
              <wp:posOffset>4493260</wp:posOffset>
            </wp:positionH>
            <wp:positionV relativeFrom="paragraph">
              <wp:posOffset>5080</wp:posOffset>
            </wp:positionV>
            <wp:extent cx="532130" cy="546735"/>
            <wp:effectExtent l="0" t="0" r="1270" b="5715"/>
            <wp:wrapTight wrapText="bothSides">
              <wp:wrapPolygon edited="0">
                <wp:start x="0" y="0"/>
                <wp:lineTo x="0" y="21073"/>
                <wp:lineTo x="20878" y="21073"/>
                <wp:lineTo x="20878" y="0"/>
                <wp:lineTo x="0" y="0"/>
              </wp:wrapPolygon>
            </wp:wrapTight>
            <wp:docPr id="1" name="Picture 1" descr="St_Werbur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Werburgh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13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302" w:rsidRDefault="00FE3302" w:rsidP="00684CA1">
      <w:pPr>
        <w:jc w:val="center"/>
        <w:rPr>
          <w:b/>
          <w:sz w:val="36"/>
          <w:szCs w:val="36"/>
        </w:rPr>
      </w:pPr>
    </w:p>
    <w:p w:rsidR="00F11F99" w:rsidRDefault="00F11F99">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F11F99" w:rsidTr="00FE3302">
        <w:tc>
          <w:tcPr>
            <w:tcW w:w="15417" w:type="dxa"/>
            <w:gridSpan w:val="6"/>
            <w:shd w:val="clear" w:color="auto" w:fill="FF0000"/>
            <w:tcMar>
              <w:top w:w="57" w:type="dxa"/>
              <w:bottom w:w="57" w:type="dxa"/>
            </w:tcMar>
          </w:tcPr>
          <w:p w:rsidR="00F11F99" w:rsidRDefault="00F2056D">
            <w:pPr>
              <w:rPr>
                <w:b/>
                <w:color w:val="FFFFFF"/>
                <w:sz w:val="24"/>
                <w:szCs w:val="24"/>
              </w:rPr>
            </w:pPr>
            <w:r>
              <w:rPr>
                <w:b/>
                <w:color w:val="FFFFFF"/>
                <w:sz w:val="24"/>
                <w:szCs w:val="24"/>
              </w:rPr>
              <w:t>Summary information</w:t>
            </w:r>
          </w:p>
        </w:tc>
      </w:tr>
      <w:tr w:rsidR="00F11F99">
        <w:tc>
          <w:tcPr>
            <w:tcW w:w="2660" w:type="dxa"/>
            <w:tcMar>
              <w:top w:w="57" w:type="dxa"/>
              <w:bottom w:w="57" w:type="dxa"/>
            </w:tcMar>
          </w:tcPr>
          <w:p w:rsidR="00F11F99" w:rsidRDefault="00F2056D">
            <w:pPr>
              <w:rPr>
                <w:b/>
              </w:rPr>
            </w:pPr>
            <w:r>
              <w:rPr>
                <w:b/>
              </w:rPr>
              <w:t>School</w:t>
            </w:r>
          </w:p>
        </w:tc>
        <w:tc>
          <w:tcPr>
            <w:tcW w:w="12757" w:type="dxa"/>
            <w:gridSpan w:val="5"/>
            <w:tcMar>
              <w:top w:w="57" w:type="dxa"/>
              <w:bottom w:w="57" w:type="dxa"/>
            </w:tcMar>
          </w:tcPr>
          <w:p w:rsidR="00F11F99" w:rsidRDefault="00FE3302">
            <w:r>
              <w:t xml:space="preserve">St </w:t>
            </w:r>
            <w:proofErr w:type="spellStart"/>
            <w:r>
              <w:t>Werburgh’s</w:t>
            </w:r>
            <w:proofErr w:type="spellEnd"/>
            <w:r>
              <w:t xml:space="preserve"> Catholic</w:t>
            </w:r>
            <w:r w:rsidR="00F2056D">
              <w:t xml:space="preserve"> Primary School </w:t>
            </w:r>
          </w:p>
        </w:tc>
      </w:tr>
      <w:tr w:rsidR="00F11F99">
        <w:trPr>
          <w:trHeight w:val="326"/>
        </w:trPr>
        <w:tc>
          <w:tcPr>
            <w:tcW w:w="2660" w:type="dxa"/>
            <w:tcMar>
              <w:top w:w="57" w:type="dxa"/>
              <w:bottom w:w="57" w:type="dxa"/>
            </w:tcMar>
          </w:tcPr>
          <w:p w:rsidR="00F11F99" w:rsidRDefault="00F2056D">
            <w:pPr>
              <w:rPr>
                <w:b/>
              </w:rPr>
            </w:pPr>
            <w:r>
              <w:rPr>
                <w:b/>
              </w:rPr>
              <w:t>Academic Year</w:t>
            </w:r>
          </w:p>
        </w:tc>
        <w:tc>
          <w:tcPr>
            <w:tcW w:w="1276" w:type="dxa"/>
            <w:tcMar>
              <w:top w:w="57" w:type="dxa"/>
              <w:bottom w:w="57" w:type="dxa"/>
            </w:tcMar>
          </w:tcPr>
          <w:p w:rsidR="00F11F99" w:rsidRDefault="00F2056D">
            <w:r>
              <w:t>2020-21</w:t>
            </w:r>
          </w:p>
        </w:tc>
        <w:tc>
          <w:tcPr>
            <w:tcW w:w="3632" w:type="dxa"/>
          </w:tcPr>
          <w:p w:rsidR="00F11F99" w:rsidRDefault="00F2056D">
            <w:pPr>
              <w:rPr>
                <w:highlight w:val="yellow"/>
              </w:rPr>
            </w:pPr>
            <w:r>
              <w:rPr>
                <w:b/>
              </w:rPr>
              <w:t>Total Catch-Up Premium</w:t>
            </w:r>
          </w:p>
        </w:tc>
        <w:tc>
          <w:tcPr>
            <w:tcW w:w="1471" w:type="dxa"/>
          </w:tcPr>
          <w:p w:rsidR="00F11F99" w:rsidRDefault="00CF38DB" w:rsidP="004E24E7">
            <w:pPr>
              <w:rPr>
                <w:color w:val="000000"/>
              </w:rPr>
            </w:pPr>
            <w:r w:rsidRPr="00CF38DB">
              <w:t>£14,560</w:t>
            </w:r>
          </w:p>
        </w:tc>
        <w:tc>
          <w:tcPr>
            <w:tcW w:w="4819" w:type="dxa"/>
          </w:tcPr>
          <w:p w:rsidR="00F11F99" w:rsidRDefault="00F2056D">
            <w:r>
              <w:rPr>
                <w:b/>
              </w:rPr>
              <w:t>Number of pupils</w:t>
            </w:r>
          </w:p>
        </w:tc>
        <w:tc>
          <w:tcPr>
            <w:tcW w:w="1559" w:type="dxa"/>
          </w:tcPr>
          <w:p w:rsidR="00F11F99" w:rsidRDefault="00CF38DB">
            <w:r>
              <w:t>182 (F2-Y6)</w:t>
            </w:r>
          </w:p>
        </w:tc>
      </w:tr>
    </w:tbl>
    <w:p w:rsidR="00F11F99" w:rsidRDefault="00F11F99">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F11F99" w:rsidTr="00FE3302">
        <w:trPr>
          <w:trHeight w:val="225"/>
        </w:trPr>
        <w:tc>
          <w:tcPr>
            <w:tcW w:w="15412" w:type="dxa"/>
            <w:gridSpan w:val="2"/>
            <w:shd w:val="clear" w:color="auto" w:fill="FF0000"/>
            <w:tcMar>
              <w:top w:w="57" w:type="dxa"/>
              <w:bottom w:w="57" w:type="dxa"/>
            </w:tcMar>
          </w:tcPr>
          <w:p w:rsidR="00F11F99" w:rsidRDefault="00F2056D">
            <w:pPr>
              <w:spacing w:after="120"/>
              <w:rPr>
                <w:color w:val="FFFFFF"/>
                <w:sz w:val="24"/>
                <w:szCs w:val="24"/>
              </w:rPr>
            </w:pPr>
            <w:r>
              <w:rPr>
                <w:b/>
                <w:color w:val="FFFFFF"/>
                <w:sz w:val="24"/>
                <w:szCs w:val="24"/>
              </w:rPr>
              <w:t>Guidance</w:t>
            </w:r>
          </w:p>
        </w:tc>
      </w:tr>
      <w:tr w:rsidR="00F11F99">
        <w:trPr>
          <w:trHeight w:val="755"/>
        </w:trPr>
        <w:tc>
          <w:tcPr>
            <w:tcW w:w="15412" w:type="dxa"/>
            <w:gridSpan w:val="2"/>
            <w:tcMar>
              <w:top w:w="57" w:type="dxa"/>
              <w:bottom w:w="57" w:type="dxa"/>
            </w:tcMar>
          </w:tcPr>
          <w:p w:rsidR="00F11F99" w:rsidRDefault="00F11F99">
            <w:pPr>
              <w:rPr>
                <w:color w:val="0B0C0C"/>
                <w:highlight w:val="white"/>
              </w:rPr>
            </w:pPr>
          </w:p>
          <w:p w:rsidR="00F11F99" w:rsidRDefault="00F2056D">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F11F99" w:rsidRDefault="00F11F99">
            <w:pPr>
              <w:rPr>
                <w:color w:val="0B0C0C"/>
                <w:highlight w:val="white"/>
              </w:rPr>
            </w:pPr>
          </w:p>
          <w:p w:rsidR="00F11F99" w:rsidRDefault="00F2056D">
            <w:pPr>
              <w:rPr>
                <w:color w:val="0B0C0C"/>
                <w:highlight w:val="white"/>
              </w:rPr>
            </w:pPr>
            <w:r>
              <w:rPr>
                <w:color w:val="0B0C0C"/>
                <w:highlight w:val="white"/>
              </w:rPr>
              <w:t xml:space="preserve">Schools’ allocations will be calculated on a per pupil basis, providing each mainstream school with a total of £80 for each pupil in </w:t>
            </w:r>
            <w:proofErr w:type="gramStart"/>
            <w:r>
              <w:rPr>
                <w:color w:val="0B0C0C"/>
                <w:highlight w:val="white"/>
              </w:rPr>
              <w:t>years</w:t>
            </w:r>
            <w:proofErr w:type="gramEnd"/>
            <w:r>
              <w:rPr>
                <w:color w:val="0B0C0C"/>
                <w:highlight w:val="white"/>
              </w:rPr>
              <w:t xml:space="preserve"> reception through to 11.</w:t>
            </w:r>
          </w:p>
          <w:p w:rsidR="00F11F99" w:rsidRDefault="00F11F99">
            <w:pPr>
              <w:rPr>
                <w:color w:val="0B0C0C"/>
                <w:highlight w:val="white"/>
              </w:rPr>
            </w:pPr>
          </w:p>
          <w:p w:rsidR="00F11F99" w:rsidRDefault="00F2056D">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F11F99" w:rsidRDefault="00F11F99"/>
        </w:tc>
      </w:tr>
      <w:tr w:rsidR="00F11F99" w:rsidTr="00FE3302">
        <w:trPr>
          <w:trHeight w:val="332"/>
        </w:trPr>
        <w:tc>
          <w:tcPr>
            <w:tcW w:w="7706" w:type="dxa"/>
            <w:shd w:val="clear" w:color="auto" w:fill="FF0000"/>
            <w:tcMar>
              <w:top w:w="57" w:type="dxa"/>
              <w:bottom w:w="57" w:type="dxa"/>
            </w:tcMar>
          </w:tcPr>
          <w:p w:rsidR="00F11F99" w:rsidRDefault="00F2056D">
            <w:pPr>
              <w:rPr>
                <w:color w:val="FFFFFF"/>
                <w:sz w:val="24"/>
                <w:szCs w:val="24"/>
              </w:rPr>
            </w:pPr>
            <w:r>
              <w:rPr>
                <w:b/>
                <w:color w:val="FFFFFF"/>
                <w:sz w:val="24"/>
                <w:szCs w:val="24"/>
              </w:rPr>
              <w:t>Use of Funds</w:t>
            </w:r>
          </w:p>
        </w:tc>
        <w:tc>
          <w:tcPr>
            <w:tcW w:w="7706" w:type="dxa"/>
            <w:shd w:val="clear" w:color="auto" w:fill="FF0000"/>
          </w:tcPr>
          <w:p w:rsidR="00F11F99" w:rsidRDefault="00F2056D">
            <w:pPr>
              <w:rPr>
                <w:b/>
                <w:color w:val="FFFFFF"/>
                <w:sz w:val="24"/>
                <w:szCs w:val="24"/>
              </w:rPr>
            </w:pPr>
            <w:r>
              <w:rPr>
                <w:b/>
                <w:color w:val="FFFFFF"/>
                <w:sz w:val="24"/>
                <w:szCs w:val="24"/>
              </w:rPr>
              <w:t>EEF Recommendations</w:t>
            </w:r>
          </w:p>
        </w:tc>
      </w:tr>
      <w:tr w:rsidR="00F11F99">
        <w:trPr>
          <w:trHeight w:val="755"/>
        </w:trPr>
        <w:tc>
          <w:tcPr>
            <w:tcW w:w="7706" w:type="dxa"/>
            <w:tcMar>
              <w:top w:w="57" w:type="dxa"/>
              <w:bottom w:w="57" w:type="dxa"/>
            </w:tcMar>
          </w:tcPr>
          <w:p w:rsidR="00F11F99" w:rsidRDefault="00F11F99">
            <w:pPr>
              <w:pBdr>
                <w:top w:val="nil"/>
                <w:left w:val="nil"/>
                <w:bottom w:val="nil"/>
                <w:right w:val="nil"/>
                <w:between w:val="nil"/>
              </w:pBdr>
              <w:shd w:val="clear" w:color="auto" w:fill="FFFFFF"/>
              <w:rPr>
                <w:color w:val="0B0C0C"/>
              </w:rPr>
            </w:pPr>
          </w:p>
          <w:p w:rsidR="00F11F99" w:rsidRDefault="00F2056D">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7" w:anchor="section-3-curriculum-behaviour-and-pastoral-support">
              <w:r>
                <w:rPr>
                  <w:color w:val="4C2C92"/>
                  <w:u w:val="single"/>
                </w:rPr>
                <w:t>curriculum expectations for the next academic year</w:t>
              </w:r>
            </w:hyperlink>
            <w:r>
              <w:rPr>
                <w:color w:val="0B0C0C"/>
              </w:rPr>
              <w:t>.</w:t>
            </w:r>
          </w:p>
          <w:p w:rsidR="00F11F99" w:rsidRDefault="00F2056D">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rsidR="00F11F99" w:rsidRDefault="00F2056D">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8"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F11F99" w:rsidRDefault="00F11F99"/>
          <w:p w:rsidR="00F11F99" w:rsidRDefault="00F11F99"/>
        </w:tc>
        <w:tc>
          <w:tcPr>
            <w:tcW w:w="7706" w:type="dxa"/>
          </w:tcPr>
          <w:p w:rsidR="00F11F99" w:rsidRDefault="00F11F99"/>
          <w:p w:rsidR="00F11F99" w:rsidRDefault="00F2056D">
            <w:r>
              <w:t>The EEF advises the following:</w:t>
            </w:r>
          </w:p>
          <w:p w:rsidR="00F11F99" w:rsidRDefault="00F11F99"/>
          <w:p w:rsidR="00F11F99" w:rsidRDefault="00F2056D">
            <w:r>
              <w:t xml:space="preserve">Teaching and whole school strategies </w:t>
            </w:r>
          </w:p>
          <w:p w:rsidR="00F11F99" w:rsidRDefault="00F2056D">
            <w:pPr>
              <w:numPr>
                <w:ilvl w:val="0"/>
                <w:numId w:val="4"/>
              </w:numPr>
              <w:pBdr>
                <w:top w:val="nil"/>
                <w:left w:val="nil"/>
                <w:bottom w:val="nil"/>
                <w:right w:val="nil"/>
                <w:between w:val="nil"/>
              </w:pBdr>
              <w:rPr>
                <w:color w:val="000000"/>
              </w:rPr>
            </w:pPr>
            <w:r>
              <w:rPr>
                <w:color w:val="000000"/>
              </w:rPr>
              <w:t>Supporting great teaching</w:t>
            </w:r>
          </w:p>
          <w:p w:rsidR="00F11F99" w:rsidRDefault="00F2056D">
            <w:pPr>
              <w:numPr>
                <w:ilvl w:val="0"/>
                <w:numId w:val="4"/>
              </w:numPr>
              <w:pBdr>
                <w:top w:val="nil"/>
                <w:left w:val="nil"/>
                <w:bottom w:val="nil"/>
                <w:right w:val="nil"/>
                <w:between w:val="nil"/>
              </w:pBdr>
              <w:rPr>
                <w:color w:val="000000"/>
              </w:rPr>
            </w:pPr>
            <w:r>
              <w:rPr>
                <w:color w:val="000000"/>
              </w:rPr>
              <w:t xml:space="preserve">Pupil assessment and feedback </w:t>
            </w:r>
          </w:p>
          <w:p w:rsidR="00F11F99" w:rsidRDefault="00F2056D">
            <w:pPr>
              <w:numPr>
                <w:ilvl w:val="0"/>
                <w:numId w:val="4"/>
              </w:numPr>
              <w:pBdr>
                <w:top w:val="nil"/>
                <w:left w:val="nil"/>
                <w:bottom w:val="nil"/>
                <w:right w:val="nil"/>
                <w:between w:val="nil"/>
              </w:pBdr>
              <w:rPr>
                <w:color w:val="000000"/>
              </w:rPr>
            </w:pPr>
            <w:r>
              <w:rPr>
                <w:color w:val="000000"/>
              </w:rPr>
              <w:t>Transition support</w:t>
            </w:r>
          </w:p>
          <w:p w:rsidR="00F11F99" w:rsidRDefault="00F11F99"/>
          <w:p w:rsidR="00F11F99" w:rsidRDefault="00F2056D">
            <w:r>
              <w:t xml:space="preserve">Targeted approaches </w:t>
            </w:r>
          </w:p>
          <w:p w:rsidR="00F11F99" w:rsidRDefault="00F2056D">
            <w:pPr>
              <w:numPr>
                <w:ilvl w:val="0"/>
                <w:numId w:val="1"/>
              </w:numPr>
              <w:pBdr>
                <w:top w:val="nil"/>
                <w:left w:val="nil"/>
                <w:bottom w:val="nil"/>
                <w:right w:val="nil"/>
                <w:between w:val="nil"/>
              </w:pBdr>
              <w:rPr>
                <w:color w:val="000000"/>
              </w:rPr>
            </w:pPr>
            <w:r>
              <w:rPr>
                <w:color w:val="000000"/>
              </w:rPr>
              <w:t xml:space="preserve">One to one and small group tuition </w:t>
            </w:r>
          </w:p>
          <w:p w:rsidR="00F11F99" w:rsidRDefault="00F2056D">
            <w:pPr>
              <w:numPr>
                <w:ilvl w:val="0"/>
                <w:numId w:val="1"/>
              </w:numPr>
              <w:pBdr>
                <w:top w:val="nil"/>
                <w:left w:val="nil"/>
                <w:bottom w:val="nil"/>
                <w:right w:val="nil"/>
                <w:between w:val="nil"/>
              </w:pBdr>
              <w:rPr>
                <w:color w:val="000000"/>
              </w:rPr>
            </w:pPr>
            <w:r>
              <w:rPr>
                <w:color w:val="000000"/>
              </w:rPr>
              <w:t xml:space="preserve">Intervention programmes </w:t>
            </w:r>
          </w:p>
          <w:p w:rsidR="00F11F99" w:rsidRDefault="00F2056D">
            <w:pPr>
              <w:numPr>
                <w:ilvl w:val="0"/>
                <w:numId w:val="1"/>
              </w:numPr>
              <w:pBdr>
                <w:top w:val="nil"/>
                <w:left w:val="nil"/>
                <w:bottom w:val="nil"/>
                <w:right w:val="nil"/>
                <w:between w:val="nil"/>
              </w:pBdr>
              <w:rPr>
                <w:color w:val="000000"/>
              </w:rPr>
            </w:pPr>
            <w:r>
              <w:rPr>
                <w:color w:val="000000"/>
              </w:rPr>
              <w:t>Extended school time</w:t>
            </w:r>
          </w:p>
          <w:p w:rsidR="00F11F99" w:rsidRDefault="00F11F99"/>
          <w:p w:rsidR="00F11F99" w:rsidRDefault="00F2056D">
            <w:r>
              <w:t xml:space="preserve">Wider strategies </w:t>
            </w:r>
          </w:p>
          <w:p w:rsidR="00F11F99" w:rsidRDefault="00F2056D">
            <w:pPr>
              <w:numPr>
                <w:ilvl w:val="0"/>
                <w:numId w:val="2"/>
              </w:numPr>
              <w:pBdr>
                <w:top w:val="nil"/>
                <w:left w:val="nil"/>
                <w:bottom w:val="nil"/>
                <w:right w:val="nil"/>
                <w:between w:val="nil"/>
              </w:pBdr>
              <w:rPr>
                <w:color w:val="000000"/>
              </w:rPr>
            </w:pPr>
            <w:r>
              <w:rPr>
                <w:color w:val="000000"/>
              </w:rPr>
              <w:lastRenderedPageBreak/>
              <w:t xml:space="preserve">Supporting parent and carers </w:t>
            </w:r>
          </w:p>
          <w:p w:rsidR="00F11F99" w:rsidRDefault="00F2056D">
            <w:pPr>
              <w:numPr>
                <w:ilvl w:val="0"/>
                <w:numId w:val="2"/>
              </w:numPr>
              <w:pBdr>
                <w:top w:val="nil"/>
                <w:left w:val="nil"/>
                <w:bottom w:val="nil"/>
                <w:right w:val="nil"/>
                <w:between w:val="nil"/>
              </w:pBdr>
              <w:rPr>
                <w:color w:val="000000"/>
              </w:rPr>
            </w:pPr>
            <w:r>
              <w:rPr>
                <w:color w:val="000000"/>
              </w:rPr>
              <w:t xml:space="preserve">Access to technology </w:t>
            </w:r>
          </w:p>
          <w:p w:rsidR="00F11F99" w:rsidRDefault="00F2056D">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rsidR="00F11F99" w:rsidRDefault="00F11F99">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F11F99" w:rsidTr="00FE3302">
        <w:tc>
          <w:tcPr>
            <w:tcW w:w="15417" w:type="dxa"/>
            <w:gridSpan w:val="2"/>
            <w:shd w:val="clear" w:color="auto" w:fill="FF0000"/>
            <w:tcMar>
              <w:top w:w="57" w:type="dxa"/>
              <w:bottom w:w="57" w:type="dxa"/>
            </w:tcMar>
          </w:tcPr>
          <w:p w:rsidR="00F11F99" w:rsidRDefault="00F2056D">
            <w:pPr>
              <w:rPr>
                <w:b/>
                <w:color w:val="FFFFFF"/>
                <w:sz w:val="24"/>
                <w:szCs w:val="24"/>
              </w:rPr>
            </w:pPr>
            <w:r>
              <w:rPr>
                <w:b/>
                <w:color w:val="FFFFFF"/>
                <w:sz w:val="24"/>
                <w:szCs w:val="24"/>
              </w:rPr>
              <w:t>Identified impact of lockdown</w:t>
            </w:r>
          </w:p>
        </w:tc>
      </w:tr>
      <w:tr w:rsidR="00F11F99">
        <w:tc>
          <w:tcPr>
            <w:tcW w:w="1271" w:type="dxa"/>
            <w:tcMar>
              <w:top w:w="57" w:type="dxa"/>
              <w:bottom w:w="57" w:type="dxa"/>
            </w:tcMar>
          </w:tcPr>
          <w:p w:rsidR="00F11F99" w:rsidRDefault="00F11F99">
            <w:pPr>
              <w:tabs>
                <w:tab w:val="left" w:pos="75"/>
              </w:tabs>
              <w:rPr>
                <w:b/>
              </w:rPr>
            </w:pPr>
          </w:p>
          <w:p w:rsidR="00F11F99" w:rsidRDefault="00F2056D">
            <w:pPr>
              <w:tabs>
                <w:tab w:val="left" w:pos="75"/>
              </w:tabs>
              <w:rPr>
                <w:b/>
              </w:rPr>
            </w:pPr>
            <w:r>
              <w:rPr>
                <w:b/>
              </w:rPr>
              <w:t>Maths</w:t>
            </w:r>
          </w:p>
        </w:tc>
        <w:tc>
          <w:tcPr>
            <w:tcW w:w="14146" w:type="dxa"/>
          </w:tcPr>
          <w:p w:rsidR="00F11F99" w:rsidRPr="009C6B29" w:rsidRDefault="00F11F99"/>
          <w:p w:rsidR="006E7D73" w:rsidRDefault="00F2056D">
            <w:r w:rsidRPr="009C6B29">
              <w:t xml:space="preserve">Specific content has been missed, leading to gaps in learning and stalled sequencing of </w:t>
            </w:r>
            <w:r w:rsidR="00B33D26" w:rsidRPr="009C6B29">
              <w:t>learning</w:t>
            </w:r>
            <w:r w:rsidR="006E7D73">
              <w:t xml:space="preserve">. On return to school children demonstrated a lack of learning stamina and resilience. Many found it hard to engage with age appropriate levels of challenge. Many had not regularly practised key concepts and were slow to process. </w:t>
            </w:r>
          </w:p>
          <w:p w:rsidR="00F11F99" w:rsidRPr="009C6B29" w:rsidRDefault="00F2056D">
            <w:r w:rsidRPr="009C6B29">
              <w:t>Recall of basic skills has suffered – children are not able to recall addition facts, times tables and have forgotten once taught calculation strategies. This is reflected in arithmetic assessments.</w:t>
            </w:r>
          </w:p>
          <w:p w:rsidR="00F11F99" w:rsidRPr="008469CC" w:rsidRDefault="00F11F99">
            <w:pPr>
              <w:rPr>
                <w:highlight w:val="yellow"/>
              </w:rPr>
            </w:pPr>
          </w:p>
        </w:tc>
      </w:tr>
      <w:tr w:rsidR="00F11F99">
        <w:tc>
          <w:tcPr>
            <w:tcW w:w="1271" w:type="dxa"/>
            <w:tcMar>
              <w:top w:w="57" w:type="dxa"/>
              <w:bottom w:w="57" w:type="dxa"/>
            </w:tcMar>
          </w:tcPr>
          <w:p w:rsidR="00F11F99" w:rsidRDefault="00F11F99">
            <w:pPr>
              <w:tabs>
                <w:tab w:val="left" w:pos="75"/>
              </w:tabs>
              <w:rPr>
                <w:b/>
              </w:rPr>
            </w:pPr>
          </w:p>
          <w:p w:rsidR="00F11F99" w:rsidRDefault="00F2056D">
            <w:pPr>
              <w:tabs>
                <w:tab w:val="left" w:pos="75"/>
              </w:tabs>
              <w:rPr>
                <w:b/>
              </w:rPr>
            </w:pPr>
            <w:r>
              <w:rPr>
                <w:b/>
              </w:rPr>
              <w:t>Writing</w:t>
            </w:r>
          </w:p>
        </w:tc>
        <w:tc>
          <w:tcPr>
            <w:tcW w:w="14146" w:type="dxa"/>
          </w:tcPr>
          <w:p w:rsidR="00F11F99" w:rsidRPr="008469CC" w:rsidRDefault="00F11F99">
            <w:pPr>
              <w:rPr>
                <w:highlight w:val="yellow"/>
              </w:rPr>
            </w:pPr>
          </w:p>
          <w:p w:rsidR="00F11F99" w:rsidRPr="009C6B29" w:rsidRDefault="00F2056D">
            <w:r w:rsidRPr="009C6B29">
              <w:t xml:space="preserve">Children </w:t>
            </w:r>
            <w:r w:rsidR="006E7D73">
              <w:t>have been impacted by a lack of writing practice and as with Maths, lack the stamina and muscle tone to write for more prolonged sessions. Maintaining concentration, without fatigue is also an issue.</w:t>
            </w:r>
            <w:r w:rsidRPr="009C6B29">
              <w:t xml:space="preserve"> </w:t>
            </w:r>
            <w:r w:rsidR="009C6B29">
              <w:t xml:space="preserve">Letter formation, </w:t>
            </w:r>
            <w:r w:rsidRPr="009C6B29">
              <w:t>GP</w:t>
            </w:r>
            <w:r w:rsidR="00B33D26" w:rsidRPr="009C6B29">
              <w:t xml:space="preserve">AS (grammar, punctuation and spelling) </w:t>
            </w:r>
            <w:r w:rsidRPr="009C6B29">
              <w:t>specific knowledge has suffered, leading to lack of fluency in writing. Those who have maintained writing throughout lockdown are less affected</w:t>
            </w:r>
            <w:r w:rsidR="009C6B29">
              <w:t>. Therefore</w:t>
            </w:r>
            <w:r w:rsidR="00BA33F7">
              <w:t>,</w:t>
            </w:r>
            <w:r w:rsidR="009C6B29">
              <w:t xml:space="preserve"> children are having to</w:t>
            </w:r>
            <w:r w:rsidRPr="009C6B29">
              <w:t xml:space="preserve"> work additionally hard on writing stamina and improving their motivation due to the lack of fluency in their ability to write.</w:t>
            </w:r>
            <w:r w:rsidR="006E7D73">
              <w:t xml:space="preserve"> The nature of lockdown and the requirement to stay at home has compounded a key school issue in writing, the lack of experience and something to inspire writing. </w:t>
            </w:r>
          </w:p>
          <w:p w:rsidR="00F11F99" w:rsidRPr="008469CC" w:rsidRDefault="00F11F99">
            <w:pPr>
              <w:rPr>
                <w:highlight w:val="yellow"/>
              </w:rPr>
            </w:pPr>
          </w:p>
        </w:tc>
      </w:tr>
      <w:tr w:rsidR="00F11F99">
        <w:tc>
          <w:tcPr>
            <w:tcW w:w="1271" w:type="dxa"/>
            <w:tcMar>
              <w:top w:w="57" w:type="dxa"/>
              <w:bottom w:w="57" w:type="dxa"/>
            </w:tcMar>
          </w:tcPr>
          <w:p w:rsidR="00F11F99" w:rsidRDefault="00F11F99">
            <w:pPr>
              <w:tabs>
                <w:tab w:val="left" w:pos="75"/>
              </w:tabs>
              <w:rPr>
                <w:b/>
              </w:rPr>
            </w:pPr>
          </w:p>
          <w:p w:rsidR="00F11F99" w:rsidRDefault="00F2056D">
            <w:pPr>
              <w:tabs>
                <w:tab w:val="left" w:pos="75"/>
              </w:tabs>
              <w:rPr>
                <w:b/>
              </w:rPr>
            </w:pPr>
            <w:r>
              <w:rPr>
                <w:b/>
              </w:rPr>
              <w:t>Reading</w:t>
            </w:r>
          </w:p>
        </w:tc>
        <w:tc>
          <w:tcPr>
            <w:tcW w:w="14146" w:type="dxa"/>
          </w:tcPr>
          <w:p w:rsidR="00F11F99" w:rsidRPr="00BA33F7" w:rsidRDefault="00BA33F7">
            <w:r w:rsidRPr="00BA33F7">
              <w:t>Reading</w:t>
            </w:r>
            <w:r w:rsidR="00F2056D" w:rsidRPr="00BA33F7">
              <w:t xml:space="preserve"> was more accessible for families and required less teacher input. However, children are less fluent in their reading and the gap between those children that read widely and those children who don’t is now increasingly wide. The bottom 20% of readers have been disproportionately</w:t>
            </w:r>
            <w:r w:rsidRPr="00BA33F7">
              <w:t xml:space="preserve"> affected. Phonics knowledge has also been affected and children have forgotten previously taught phonemes.</w:t>
            </w:r>
            <w:r w:rsidR="00F2056D" w:rsidRPr="00BA33F7">
              <w:t xml:space="preserve"> </w:t>
            </w:r>
          </w:p>
          <w:p w:rsidR="00F11F99" w:rsidRPr="00BA33F7" w:rsidRDefault="00F11F99"/>
        </w:tc>
      </w:tr>
      <w:tr w:rsidR="00F11F99">
        <w:tc>
          <w:tcPr>
            <w:tcW w:w="1271" w:type="dxa"/>
            <w:tcMar>
              <w:top w:w="57" w:type="dxa"/>
              <w:bottom w:w="57" w:type="dxa"/>
            </w:tcMar>
          </w:tcPr>
          <w:p w:rsidR="00F11F99" w:rsidRDefault="00F11F99">
            <w:pPr>
              <w:tabs>
                <w:tab w:val="left" w:pos="75"/>
              </w:tabs>
              <w:rPr>
                <w:b/>
              </w:rPr>
            </w:pPr>
          </w:p>
          <w:p w:rsidR="00F11F99" w:rsidRDefault="00F2056D">
            <w:pPr>
              <w:tabs>
                <w:tab w:val="left" w:pos="75"/>
              </w:tabs>
              <w:rPr>
                <w:b/>
              </w:rPr>
            </w:pPr>
            <w:r>
              <w:rPr>
                <w:b/>
              </w:rPr>
              <w:t>Non-core</w:t>
            </w:r>
          </w:p>
        </w:tc>
        <w:tc>
          <w:tcPr>
            <w:tcW w:w="14146" w:type="dxa"/>
          </w:tcPr>
          <w:p w:rsidR="00F11F99" w:rsidRPr="001F0334" w:rsidRDefault="00F11F99"/>
          <w:p w:rsidR="00F11F99" w:rsidRPr="001F0334" w:rsidRDefault="00F2056D">
            <w:r w:rsidRPr="001F0334">
              <w:t xml:space="preserve">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w:t>
            </w:r>
            <w:r w:rsidR="001F0334">
              <w:t xml:space="preserve">memorable </w:t>
            </w:r>
            <w:r w:rsidRPr="001F0334">
              <w:t>curriculum moments.</w:t>
            </w:r>
          </w:p>
          <w:p w:rsidR="00F11F99" w:rsidRPr="001F0334" w:rsidRDefault="00F11F99"/>
        </w:tc>
      </w:tr>
    </w:tbl>
    <w:p w:rsidR="00F11F99" w:rsidRDefault="00F2056D">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F11F99" w:rsidTr="00FE3302">
        <w:tc>
          <w:tcPr>
            <w:tcW w:w="15126" w:type="dxa"/>
            <w:gridSpan w:val="5"/>
            <w:shd w:val="clear" w:color="auto" w:fill="FF0000"/>
            <w:tcMar>
              <w:top w:w="57" w:type="dxa"/>
              <w:bottom w:w="57" w:type="dxa"/>
            </w:tcMar>
          </w:tcPr>
          <w:p w:rsidR="00F11F99" w:rsidRDefault="00F2056D">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F11F99" w:rsidTr="00FE3302">
        <w:tc>
          <w:tcPr>
            <w:tcW w:w="15126" w:type="dxa"/>
            <w:gridSpan w:val="5"/>
            <w:shd w:val="clear" w:color="auto" w:fill="D9D9D9" w:themeFill="background1" w:themeFillShade="D9"/>
            <w:tcMar>
              <w:top w:w="57" w:type="dxa"/>
              <w:bottom w:w="57" w:type="dxa"/>
            </w:tcMar>
          </w:tcPr>
          <w:p w:rsidR="00F11F99" w:rsidRDefault="00F2056D" w:rsidP="00FE3302">
            <w:pPr>
              <w:numPr>
                <w:ilvl w:val="0"/>
                <w:numId w:val="3"/>
              </w:numPr>
              <w:pBdr>
                <w:top w:val="nil"/>
                <w:left w:val="nil"/>
                <w:bottom w:val="nil"/>
                <w:right w:val="nil"/>
                <w:between w:val="nil"/>
              </w:pBdr>
              <w:shd w:val="clear" w:color="auto" w:fill="D9D9D9" w:themeFill="background1" w:themeFillShade="D9"/>
              <w:ind w:left="426" w:hanging="142"/>
              <w:rPr>
                <w:b/>
                <w:color w:val="000000"/>
                <w:sz w:val="20"/>
                <w:szCs w:val="20"/>
              </w:rPr>
            </w:pPr>
            <w:r>
              <w:rPr>
                <w:b/>
                <w:color w:val="000000"/>
                <w:sz w:val="20"/>
                <w:szCs w:val="20"/>
              </w:rPr>
              <w:t>Teaching and whole-school strategies</w:t>
            </w:r>
          </w:p>
        </w:tc>
      </w:tr>
      <w:tr w:rsidR="00F11F99">
        <w:trPr>
          <w:trHeight w:val="289"/>
        </w:trPr>
        <w:tc>
          <w:tcPr>
            <w:tcW w:w="4815" w:type="dxa"/>
            <w:tcMar>
              <w:top w:w="57" w:type="dxa"/>
              <w:bottom w:w="57" w:type="dxa"/>
            </w:tcMar>
          </w:tcPr>
          <w:p w:rsidR="00F11F99" w:rsidRDefault="00F2056D">
            <w:pPr>
              <w:rPr>
                <w:b/>
                <w:sz w:val="20"/>
                <w:szCs w:val="20"/>
              </w:rPr>
            </w:pPr>
            <w:r>
              <w:rPr>
                <w:b/>
                <w:sz w:val="20"/>
                <w:szCs w:val="20"/>
              </w:rPr>
              <w:t>Desired outcome</w:t>
            </w:r>
          </w:p>
        </w:tc>
        <w:tc>
          <w:tcPr>
            <w:tcW w:w="4961" w:type="dxa"/>
            <w:tcMar>
              <w:top w:w="57" w:type="dxa"/>
              <w:bottom w:w="57" w:type="dxa"/>
            </w:tcMar>
          </w:tcPr>
          <w:p w:rsidR="00F11F99" w:rsidRDefault="00F2056D">
            <w:pPr>
              <w:rPr>
                <w:b/>
                <w:sz w:val="20"/>
                <w:szCs w:val="20"/>
              </w:rPr>
            </w:pPr>
            <w:r>
              <w:rPr>
                <w:b/>
                <w:sz w:val="20"/>
                <w:szCs w:val="20"/>
              </w:rPr>
              <w:t>Chosen approach and anticipated cost</w:t>
            </w:r>
          </w:p>
        </w:tc>
        <w:tc>
          <w:tcPr>
            <w:tcW w:w="3078" w:type="dxa"/>
            <w:shd w:val="clear" w:color="auto" w:fill="auto"/>
            <w:tcMar>
              <w:top w:w="57" w:type="dxa"/>
              <w:bottom w:w="57" w:type="dxa"/>
            </w:tcMar>
          </w:tcPr>
          <w:p w:rsidR="00F11F99" w:rsidRDefault="00F2056D">
            <w:pPr>
              <w:rPr>
                <w:b/>
                <w:sz w:val="20"/>
                <w:szCs w:val="20"/>
              </w:rPr>
            </w:pPr>
            <w:r>
              <w:rPr>
                <w:b/>
                <w:sz w:val="20"/>
                <w:szCs w:val="20"/>
              </w:rPr>
              <w:t>Impact (once reviewed)</w:t>
            </w:r>
          </w:p>
        </w:tc>
        <w:tc>
          <w:tcPr>
            <w:tcW w:w="1094" w:type="dxa"/>
            <w:shd w:val="clear" w:color="auto" w:fill="auto"/>
            <w:tcMar>
              <w:top w:w="57" w:type="dxa"/>
              <w:bottom w:w="57" w:type="dxa"/>
            </w:tcMar>
          </w:tcPr>
          <w:p w:rsidR="00F11F99" w:rsidRDefault="00F2056D">
            <w:pPr>
              <w:rPr>
                <w:b/>
                <w:sz w:val="20"/>
                <w:szCs w:val="20"/>
              </w:rPr>
            </w:pPr>
            <w:r>
              <w:rPr>
                <w:b/>
                <w:sz w:val="20"/>
                <w:szCs w:val="20"/>
              </w:rPr>
              <w:t>Staff lead</w:t>
            </w:r>
          </w:p>
        </w:tc>
        <w:tc>
          <w:tcPr>
            <w:tcW w:w="1178" w:type="dxa"/>
          </w:tcPr>
          <w:p w:rsidR="00F11F99" w:rsidRDefault="00F2056D">
            <w:pPr>
              <w:rPr>
                <w:b/>
                <w:sz w:val="20"/>
                <w:szCs w:val="20"/>
              </w:rPr>
            </w:pPr>
            <w:r>
              <w:rPr>
                <w:b/>
                <w:sz w:val="20"/>
                <w:szCs w:val="20"/>
              </w:rPr>
              <w:t>Review date?</w:t>
            </w:r>
          </w:p>
        </w:tc>
      </w:tr>
      <w:tr w:rsidR="00196228">
        <w:tc>
          <w:tcPr>
            <w:tcW w:w="4815" w:type="dxa"/>
            <w:tcMar>
              <w:top w:w="57" w:type="dxa"/>
              <w:bottom w:w="57" w:type="dxa"/>
            </w:tcMar>
          </w:tcPr>
          <w:p w:rsidR="00196228" w:rsidRDefault="00E434EC" w:rsidP="00196228">
            <w:pPr>
              <w:rPr>
                <w:b/>
                <w:sz w:val="20"/>
                <w:szCs w:val="20"/>
                <w:u w:val="single"/>
              </w:rPr>
            </w:pPr>
            <w:r>
              <w:rPr>
                <w:b/>
                <w:sz w:val="20"/>
                <w:szCs w:val="20"/>
                <w:u w:val="single"/>
              </w:rPr>
              <w:t xml:space="preserve">Supporting good </w:t>
            </w:r>
            <w:r w:rsidR="00196228" w:rsidRPr="00196228">
              <w:rPr>
                <w:b/>
                <w:sz w:val="20"/>
                <w:szCs w:val="20"/>
                <w:u w:val="single"/>
              </w:rPr>
              <w:t>teaching:</w:t>
            </w:r>
          </w:p>
          <w:p w:rsidR="00196228" w:rsidRDefault="00196228" w:rsidP="006E7D73">
            <w:pPr>
              <w:rPr>
                <w:sz w:val="20"/>
                <w:szCs w:val="20"/>
                <w:u w:val="single"/>
              </w:rPr>
            </w:pPr>
          </w:p>
        </w:tc>
        <w:tc>
          <w:tcPr>
            <w:tcW w:w="4961" w:type="dxa"/>
            <w:tcMar>
              <w:top w:w="57" w:type="dxa"/>
              <w:bottom w:w="57" w:type="dxa"/>
            </w:tcMar>
          </w:tcPr>
          <w:p w:rsidR="001633E9" w:rsidRDefault="001633E9" w:rsidP="001633E9">
            <w:pPr>
              <w:pBdr>
                <w:top w:val="nil"/>
                <w:left w:val="nil"/>
                <w:bottom w:val="nil"/>
                <w:right w:val="nil"/>
                <w:between w:val="nil"/>
              </w:pBdr>
              <w:jc w:val="right"/>
              <w:rPr>
                <w:b/>
                <w:i/>
                <w:color w:val="000000"/>
                <w:sz w:val="20"/>
                <w:szCs w:val="20"/>
              </w:rPr>
            </w:pPr>
          </w:p>
        </w:tc>
        <w:tc>
          <w:tcPr>
            <w:tcW w:w="3078" w:type="dxa"/>
            <w:shd w:val="clear" w:color="auto" w:fill="auto"/>
            <w:tcMar>
              <w:top w:w="57" w:type="dxa"/>
              <w:bottom w:w="57" w:type="dxa"/>
            </w:tcMar>
          </w:tcPr>
          <w:p w:rsidR="00196228" w:rsidRDefault="00196228">
            <w:pPr>
              <w:rPr>
                <w:sz w:val="20"/>
                <w:szCs w:val="20"/>
              </w:rPr>
            </w:pPr>
          </w:p>
        </w:tc>
        <w:tc>
          <w:tcPr>
            <w:tcW w:w="1094" w:type="dxa"/>
            <w:shd w:val="clear" w:color="auto" w:fill="auto"/>
            <w:tcMar>
              <w:top w:w="57" w:type="dxa"/>
              <w:bottom w:w="57" w:type="dxa"/>
            </w:tcMar>
          </w:tcPr>
          <w:p w:rsidR="00196228" w:rsidRDefault="00196228" w:rsidP="001633E9">
            <w:pPr>
              <w:rPr>
                <w:sz w:val="20"/>
                <w:szCs w:val="20"/>
              </w:rPr>
            </w:pPr>
          </w:p>
        </w:tc>
        <w:tc>
          <w:tcPr>
            <w:tcW w:w="1178" w:type="dxa"/>
          </w:tcPr>
          <w:p w:rsidR="00196228" w:rsidRDefault="00196228">
            <w:pPr>
              <w:rPr>
                <w:sz w:val="20"/>
                <w:szCs w:val="20"/>
              </w:rPr>
            </w:pPr>
          </w:p>
        </w:tc>
      </w:tr>
      <w:tr w:rsidR="00F11F99">
        <w:tc>
          <w:tcPr>
            <w:tcW w:w="4815" w:type="dxa"/>
            <w:tcMar>
              <w:top w:w="57" w:type="dxa"/>
              <w:bottom w:w="57" w:type="dxa"/>
            </w:tcMar>
          </w:tcPr>
          <w:p w:rsidR="00F11F99" w:rsidRDefault="0045617B">
            <w:pPr>
              <w:rPr>
                <w:sz w:val="20"/>
                <w:szCs w:val="20"/>
              </w:rPr>
            </w:pPr>
            <w:r>
              <w:rPr>
                <w:sz w:val="20"/>
                <w:szCs w:val="20"/>
              </w:rPr>
              <w:t>CPD provided for subject leaders in curriculum design and all staff in quality teaching and learning strategies in foundation subjects.</w:t>
            </w:r>
          </w:p>
          <w:p w:rsidR="00F11F99" w:rsidRDefault="00F11F99">
            <w:pPr>
              <w:rPr>
                <w:sz w:val="20"/>
                <w:szCs w:val="20"/>
              </w:rPr>
            </w:pPr>
          </w:p>
          <w:p w:rsidR="00F11F99" w:rsidRDefault="00F11F99" w:rsidP="006B0FEC">
            <w:pPr>
              <w:rPr>
                <w:sz w:val="20"/>
                <w:szCs w:val="20"/>
              </w:rPr>
            </w:pPr>
          </w:p>
          <w:p w:rsidR="005B0723" w:rsidRDefault="005B0723" w:rsidP="006B0FEC">
            <w:pPr>
              <w:rPr>
                <w:sz w:val="20"/>
                <w:szCs w:val="20"/>
              </w:rPr>
            </w:pPr>
          </w:p>
          <w:p w:rsidR="00FD7BE4" w:rsidRDefault="00FD7BE4" w:rsidP="006B0FEC">
            <w:pPr>
              <w:rPr>
                <w:sz w:val="20"/>
                <w:szCs w:val="20"/>
              </w:rPr>
            </w:pPr>
          </w:p>
          <w:p w:rsidR="00FD7BE4" w:rsidRDefault="00FD7BE4" w:rsidP="006B0FEC">
            <w:pPr>
              <w:rPr>
                <w:sz w:val="20"/>
                <w:szCs w:val="20"/>
              </w:rPr>
            </w:pPr>
          </w:p>
          <w:p w:rsidR="00FD7BE4" w:rsidRDefault="00FD7BE4" w:rsidP="006B0FEC">
            <w:pPr>
              <w:rPr>
                <w:sz w:val="20"/>
                <w:szCs w:val="20"/>
              </w:rPr>
            </w:pPr>
          </w:p>
          <w:p w:rsidR="005B0723" w:rsidRDefault="005B0723" w:rsidP="006B0FEC">
            <w:pPr>
              <w:rPr>
                <w:sz w:val="20"/>
                <w:szCs w:val="20"/>
              </w:rPr>
            </w:pPr>
            <w:r>
              <w:rPr>
                <w:sz w:val="20"/>
                <w:szCs w:val="20"/>
              </w:rPr>
              <w:t>Ensure the quality of teaching in learning Maths is at least good and provide a high quality, challenging differentiated curriculum to address gaps in learning and increase fluency.</w:t>
            </w:r>
          </w:p>
        </w:tc>
        <w:tc>
          <w:tcPr>
            <w:tcW w:w="4961" w:type="dxa"/>
            <w:tcMar>
              <w:top w:w="57" w:type="dxa"/>
              <w:bottom w:w="57" w:type="dxa"/>
            </w:tcMar>
          </w:tcPr>
          <w:p w:rsidR="00F11F99" w:rsidRDefault="0045617B" w:rsidP="0045617B">
            <w:pPr>
              <w:pBdr>
                <w:top w:val="nil"/>
                <w:left w:val="nil"/>
                <w:bottom w:val="nil"/>
                <w:right w:val="nil"/>
                <w:between w:val="nil"/>
              </w:pBdr>
              <w:rPr>
                <w:b/>
                <w:i/>
                <w:color w:val="000000"/>
                <w:sz w:val="20"/>
                <w:szCs w:val="20"/>
              </w:rPr>
            </w:pPr>
            <w:r>
              <w:rPr>
                <w:b/>
                <w:i/>
                <w:color w:val="000000"/>
                <w:sz w:val="20"/>
                <w:szCs w:val="20"/>
              </w:rPr>
              <w:t>Alan Tor, HMI to provide subject leader updates</w:t>
            </w:r>
          </w:p>
          <w:p w:rsidR="0045617B" w:rsidRDefault="0045617B" w:rsidP="0045617B">
            <w:pPr>
              <w:pBdr>
                <w:top w:val="nil"/>
                <w:left w:val="nil"/>
                <w:bottom w:val="nil"/>
                <w:right w:val="nil"/>
                <w:between w:val="nil"/>
              </w:pBdr>
              <w:rPr>
                <w:b/>
                <w:i/>
                <w:color w:val="FF0000"/>
                <w:sz w:val="20"/>
                <w:szCs w:val="20"/>
              </w:rPr>
            </w:pPr>
          </w:p>
          <w:p w:rsidR="0045617B" w:rsidRDefault="0045617B" w:rsidP="0045617B">
            <w:pPr>
              <w:pBdr>
                <w:top w:val="nil"/>
                <w:left w:val="nil"/>
                <w:bottom w:val="nil"/>
                <w:right w:val="nil"/>
                <w:between w:val="nil"/>
              </w:pBdr>
              <w:rPr>
                <w:b/>
                <w:i/>
                <w:sz w:val="20"/>
                <w:szCs w:val="20"/>
              </w:rPr>
            </w:pPr>
            <w:r w:rsidRPr="0045617B">
              <w:rPr>
                <w:b/>
                <w:i/>
                <w:sz w:val="20"/>
                <w:szCs w:val="20"/>
              </w:rPr>
              <w:t>Quality CPD sourced from</w:t>
            </w:r>
            <w:r>
              <w:rPr>
                <w:b/>
                <w:i/>
                <w:sz w:val="20"/>
                <w:szCs w:val="20"/>
              </w:rPr>
              <w:t xml:space="preserve"> a range of providers including,</w:t>
            </w:r>
            <w:r w:rsidRPr="0045617B">
              <w:rPr>
                <w:b/>
                <w:i/>
                <w:sz w:val="20"/>
                <w:szCs w:val="20"/>
              </w:rPr>
              <w:t xml:space="preserve"> School Improvement Liverpool</w:t>
            </w:r>
          </w:p>
          <w:p w:rsidR="005B0723" w:rsidRDefault="00244ED2" w:rsidP="005B0723">
            <w:pPr>
              <w:pBdr>
                <w:top w:val="nil"/>
                <w:left w:val="nil"/>
                <w:bottom w:val="nil"/>
                <w:right w:val="nil"/>
                <w:between w:val="nil"/>
              </w:pBdr>
              <w:jc w:val="right"/>
              <w:rPr>
                <w:b/>
                <w:i/>
                <w:color w:val="FF0000"/>
                <w:sz w:val="20"/>
                <w:szCs w:val="20"/>
              </w:rPr>
            </w:pPr>
            <w:r w:rsidRPr="00244ED2">
              <w:rPr>
                <w:b/>
                <w:i/>
                <w:color w:val="FF0000"/>
                <w:sz w:val="20"/>
                <w:szCs w:val="20"/>
              </w:rPr>
              <w:t>£</w:t>
            </w:r>
            <w:r w:rsidR="00E311B0">
              <w:rPr>
                <w:b/>
                <w:i/>
                <w:color w:val="FF0000"/>
                <w:sz w:val="20"/>
                <w:szCs w:val="20"/>
              </w:rPr>
              <w:t>4,200</w:t>
            </w:r>
          </w:p>
          <w:p w:rsidR="005B0723" w:rsidRDefault="005B0723" w:rsidP="005B0723">
            <w:pPr>
              <w:rPr>
                <w:sz w:val="20"/>
                <w:szCs w:val="20"/>
              </w:rPr>
            </w:pPr>
          </w:p>
          <w:p w:rsidR="00FD7BE4" w:rsidRDefault="00FD7BE4" w:rsidP="005B0723">
            <w:pPr>
              <w:rPr>
                <w:b/>
                <w:i/>
                <w:sz w:val="20"/>
                <w:szCs w:val="20"/>
              </w:rPr>
            </w:pPr>
          </w:p>
          <w:p w:rsidR="00FD7BE4" w:rsidRDefault="00FD7BE4" w:rsidP="005B0723">
            <w:pPr>
              <w:rPr>
                <w:b/>
                <w:i/>
                <w:sz w:val="20"/>
                <w:szCs w:val="20"/>
              </w:rPr>
            </w:pPr>
          </w:p>
          <w:p w:rsidR="00FD7BE4" w:rsidRDefault="00FD7BE4" w:rsidP="005B0723">
            <w:pPr>
              <w:rPr>
                <w:b/>
                <w:i/>
                <w:sz w:val="20"/>
                <w:szCs w:val="20"/>
              </w:rPr>
            </w:pPr>
          </w:p>
          <w:p w:rsidR="00244ED2" w:rsidRDefault="005B0723" w:rsidP="005B0723">
            <w:pPr>
              <w:rPr>
                <w:b/>
                <w:i/>
                <w:sz w:val="20"/>
                <w:szCs w:val="20"/>
              </w:rPr>
            </w:pPr>
            <w:r w:rsidRPr="005B0723">
              <w:rPr>
                <w:b/>
                <w:i/>
                <w:sz w:val="20"/>
                <w:szCs w:val="20"/>
              </w:rPr>
              <w:t>Purchase White Rose Maths Premium Resources</w:t>
            </w:r>
          </w:p>
          <w:p w:rsidR="005B0723" w:rsidRDefault="005B0723" w:rsidP="005B0723">
            <w:pPr>
              <w:rPr>
                <w:b/>
                <w:i/>
                <w:sz w:val="20"/>
                <w:szCs w:val="20"/>
              </w:rPr>
            </w:pPr>
          </w:p>
          <w:p w:rsidR="005B0723" w:rsidRPr="005B0723" w:rsidRDefault="005B0723" w:rsidP="005B0723">
            <w:pPr>
              <w:jc w:val="right"/>
              <w:rPr>
                <w:b/>
                <w:i/>
                <w:sz w:val="20"/>
                <w:szCs w:val="20"/>
              </w:rPr>
            </w:pPr>
            <w:r w:rsidRPr="005B0723">
              <w:rPr>
                <w:b/>
                <w:i/>
                <w:color w:val="FF0000"/>
                <w:sz w:val="20"/>
                <w:szCs w:val="20"/>
              </w:rPr>
              <w:t>£</w:t>
            </w:r>
            <w:r w:rsidR="00E311B0">
              <w:rPr>
                <w:b/>
                <w:i/>
                <w:color w:val="FF0000"/>
                <w:sz w:val="20"/>
                <w:szCs w:val="20"/>
              </w:rPr>
              <w:t>120</w:t>
            </w:r>
          </w:p>
        </w:tc>
        <w:tc>
          <w:tcPr>
            <w:tcW w:w="3078" w:type="dxa"/>
            <w:shd w:val="clear" w:color="auto" w:fill="auto"/>
            <w:tcMar>
              <w:top w:w="57" w:type="dxa"/>
              <w:bottom w:w="57" w:type="dxa"/>
            </w:tcMar>
          </w:tcPr>
          <w:p w:rsidR="00F11F99" w:rsidRDefault="00E434EC">
            <w:pPr>
              <w:rPr>
                <w:sz w:val="20"/>
                <w:szCs w:val="20"/>
              </w:rPr>
            </w:pPr>
            <w:r>
              <w:rPr>
                <w:sz w:val="20"/>
                <w:szCs w:val="20"/>
              </w:rPr>
              <w:t>Subject leaders attended training and as a result have planned a long term, sequenced curriculum – now in place.</w:t>
            </w:r>
            <w:r w:rsidR="00FD7BE4">
              <w:rPr>
                <w:sz w:val="20"/>
                <w:szCs w:val="20"/>
              </w:rPr>
              <w:t xml:space="preserve"> Subject leaders have supported class teachers in planning a cohesive sequence of lessons to ensure pupils have a secure grasp of knowledge based end points.</w:t>
            </w:r>
          </w:p>
          <w:p w:rsidR="00FD7BE4" w:rsidRDefault="00FD7BE4">
            <w:pPr>
              <w:rPr>
                <w:sz w:val="20"/>
                <w:szCs w:val="20"/>
              </w:rPr>
            </w:pPr>
            <w:r>
              <w:rPr>
                <w:sz w:val="20"/>
                <w:szCs w:val="20"/>
              </w:rPr>
              <w:t xml:space="preserve">Purchased resources are in use in all classes. Book </w:t>
            </w:r>
            <w:proofErr w:type="spellStart"/>
            <w:r>
              <w:rPr>
                <w:sz w:val="20"/>
                <w:szCs w:val="20"/>
              </w:rPr>
              <w:t>scrutinies</w:t>
            </w:r>
            <w:proofErr w:type="spellEnd"/>
            <w:r>
              <w:rPr>
                <w:sz w:val="20"/>
                <w:szCs w:val="20"/>
              </w:rPr>
              <w:t xml:space="preserve"> show evidence of challenge, differentiation and a mastery curriculum. Assessment however continues to show that retention of knowledge has been impacted by </w:t>
            </w:r>
            <w:proofErr w:type="spellStart"/>
            <w:r>
              <w:rPr>
                <w:sz w:val="20"/>
                <w:szCs w:val="20"/>
              </w:rPr>
              <w:t>Covid</w:t>
            </w:r>
            <w:proofErr w:type="spellEnd"/>
            <w:r>
              <w:rPr>
                <w:sz w:val="20"/>
                <w:szCs w:val="20"/>
              </w:rPr>
              <w:t xml:space="preserve"> lockdowns and pupils in Y4</w:t>
            </w:r>
            <w:proofErr w:type="gramStart"/>
            <w:r>
              <w:rPr>
                <w:sz w:val="20"/>
                <w:szCs w:val="20"/>
              </w:rPr>
              <w:t>,5</w:t>
            </w:r>
            <w:proofErr w:type="gramEnd"/>
            <w:r>
              <w:rPr>
                <w:sz w:val="20"/>
                <w:szCs w:val="20"/>
              </w:rPr>
              <w:t xml:space="preserve"> and 6 need additional support in order to make accelerated progress.</w:t>
            </w:r>
          </w:p>
          <w:p w:rsidR="00FD7BE4" w:rsidRDefault="00FD7BE4">
            <w:pPr>
              <w:rPr>
                <w:sz w:val="20"/>
                <w:szCs w:val="20"/>
              </w:rPr>
            </w:pPr>
          </w:p>
        </w:tc>
        <w:tc>
          <w:tcPr>
            <w:tcW w:w="1094" w:type="dxa"/>
            <w:shd w:val="clear" w:color="auto" w:fill="auto"/>
            <w:tcMar>
              <w:top w:w="57" w:type="dxa"/>
              <w:bottom w:w="57" w:type="dxa"/>
            </w:tcMar>
          </w:tcPr>
          <w:p w:rsidR="00F11F99" w:rsidRDefault="0045617B">
            <w:pPr>
              <w:rPr>
                <w:sz w:val="20"/>
                <w:szCs w:val="20"/>
              </w:rPr>
            </w:pPr>
            <w:r>
              <w:rPr>
                <w:sz w:val="20"/>
                <w:szCs w:val="20"/>
              </w:rPr>
              <w:t>SM/CS</w:t>
            </w:r>
          </w:p>
          <w:p w:rsidR="00F11F99" w:rsidRDefault="00F11F99">
            <w:pPr>
              <w:rPr>
                <w:sz w:val="20"/>
                <w:szCs w:val="20"/>
              </w:rPr>
            </w:pPr>
          </w:p>
          <w:p w:rsidR="00F11F99" w:rsidRDefault="00F11F99">
            <w:pPr>
              <w:rPr>
                <w:sz w:val="20"/>
                <w:szCs w:val="20"/>
              </w:rPr>
            </w:pPr>
          </w:p>
          <w:p w:rsidR="00F11F99" w:rsidRDefault="00F11F99">
            <w:pPr>
              <w:rPr>
                <w:sz w:val="20"/>
                <w:szCs w:val="20"/>
              </w:rPr>
            </w:pPr>
          </w:p>
          <w:p w:rsidR="00F11F99" w:rsidRDefault="00F11F99">
            <w:pPr>
              <w:rPr>
                <w:sz w:val="20"/>
                <w:szCs w:val="20"/>
              </w:rPr>
            </w:pPr>
          </w:p>
          <w:p w:rsidR="00F11F99" w:rsidRDefault="00F11F99">
            <w:pPr>
              <w:rPr>
                <w:sz w:val="20"/>
                <w:szCs w:val="20"/>
              </w:rPr>
            </w:pPr>
          </w:p>
          <w:p w:rsidR="00F11F99" w:rsidRDefault="00F11F99">
            <w:pPr>
              <w:rPr>
                <w:sz w:val="20"/>
                <w:szCs w:val="20"/>
              </w:rPr>
            </w:pPr>
          </w:p>
        </w:tc>
        <w:tc>
          <w:tcPr>
            <w:tcW w:w="1178" w:type="dxa"/>
          </w:tcPr>
          <w:p w:rsidR="00F11F99" w:rsidRDefault="0045617B">
            <w:pPr>
              <w:rPr>
                <w:sz w:val="20"/>
                <w:szCs w:val="20"/>
              </w:rPr>
            </w:pPr>
            <w:r>
              <w:rPr>
                <w:sz w:val="20"/>
                <w:szCs w:val="20"/>
              </w:rPr>
              <w:t>Apr 21</w:t>
            </w:r>
          </w:p>
          <w:p w:rsidR="0045617B" w:rsidRDefault="0045617B">
            <w:pPr>
              <w:rPr>
                <w:sz w:val="20"/>
                <w:szCs w:val="20"/>
              </w:rPr>
            </w:pPr>
          </w:p>
          <w:p w:rsidR="0045617B" w:rsidRDefault="0045617B">
            <w:pPr>
              <w:rPr>
                <w:sz w:val="20"/>
                <w:szCs w:val="20"/>
              </w:rPr>
            </w:pPr>
            <w:r>
              <w:rPr>
                <w:sz w:val="20"/>
                <w:szCs w:val="20"/>
              </w:rPr>
              <w:t>Jul 21</w:t>
            </w:r>
          </w:p>
          <w:p w:rsidR="00F11F99" w:rsidRDefault="00F11F99">
            <w:pPr>
              <w:rPr>
                <w:sz w:val="20"/>
                <w:szCs w:val="20"/>
              </w:rPr>
            </w:pPr>
          </w:p>
          <w:p w:rsidR="00F11F99" w:rsidRDefault="00F11F99">
            <w:pPr>
              <w:rPr>
                <w:sz w:val="20"/>
                <w:szCs w:val="20"/>
              </w:rPr>
            </w:pPr>
          </w:p>
          <w:p w:rsidR="00F11F99" w:rsidRDefault="00F11F99">
            <w:pPr>
              <w:rPr>
                <w:sz w:val="20"/>
                <w:szCs w:val="20"/>
              </w:rPr>
            </w:pPr>
          </w:p>
          <w:p w:rsidR="00F11F99" w:rsidRDefault="00F11F99">
            <w:pPr>
              <w:rPr>
                <w:sz w:val="20"/>
                <w:szCs w:val="20"/>
              </w:rPr>
            </w:pPr>
          </w:p>
        </w:tc>
      </w:tr>
      <w:tr w:rsidR="00F11F99">
        <w:tc>
          <w:tcPr>
            <w:tcW w:w="4815" w:type="dxa"/>
            <w:tcMar>
              <w:top w:w="57" w:type="dxa"/>
              <w:bottom w:w="57" w:type="dxa"/>
            </w:tcMar>
          </w:tcPr>
          <w:p w:rsidR="00F11F99" w:rsidRPr="00196228" w:rsidRDefault="00F2056D">
            <w:pPr>
              <w:pBdr>
                <w:top w:val="nil"/>
                <w:left w:val="nil"/>
                <w:bottom w:val="nil"/>
                <w:right w:val="nil"/>
                <w:between w:val="nil"/>
              </w:pBdr>
              <w:rPr>
                <w:b/>
                <w:color w:val="000000"/>
                <w:sz w:val="20"/>
                <w:szCs w:val="20"/>
                <w:u w:val="single"/>
              </w:rPr>
            </w:pPr>
            <w:r w:rsidRPr="00196228">
              <w:rPr>
                <w:b/>
                <w:color w:val="000000"/>
                <w:sz w:val="20"/>
                <w:szCs w:val="20"/>
                <w:u w:val="single"/>
              </w:rPr>
              <w:t>Teaching</w:t>
            </w:r>
            <w:r w:rsidR="00196228">
              <w:rPr>
                <w:b/>
                <w:color w:val="000000"/>
                <w:sz w:val="20"/>
                <w:szCs w:val="20"/>
                <w:u w:val="single"/>
              </w:rPr>
              <w:t>,</w:t>
            </w:r>
            <w:r w:rsidR="00B75DB3">
              <w:rPr>
                <w:b/>
                <w:color w:val="000000"/>
                <w:sz w:val="20"/>
                <w:szCs w:val="20"/>
                <w:u w:val="single"/>
              </w:rPr>
              <w:t xml:space="preserve"> </w:t>
            </w:r>
            <w:r w:rsidRPr="00196228">
              <w:rPr>
                <w:b/>
                <w:color w:val="000000"/>
                <w:sz w:val="20"/>
                <w:szCs w:val="20"/>
                <w:u w:val="single"/>
              </w:rPr>
              <w:t>assessment and feedback</w:t>
            </w:r>
          </w:p>
          <w:p w:rsidR="00F11F99" w:rsidRDefault="00F11F99">
            <w:pPr>
              <w:pBdr>
                <w:top w:val="nil"/>
                <w:left w:val="nil"/>
                <w:bottom w:val="nil"/>
                <w:right w:val="nil"/>
                <w:between w:val="nil"/>
              </w:pBdr>
              <w:rPr>
                <w:color w:val="000000"/>
                <w:sz w:val="20"/>
                <w:szCs w:val="20"/>
              </w:rPr>
            </w:pPr>
          </w:p>
          <w:p w:rsidR="00F11F99" w:rsidRDefault="0045617B">
            <w:pPr>
              <w:pBdr>
                <w:top w:val="nil"/>
                <w:left w:val="nil"/>
                <w:bottom w:val="nil"/>
                <w:right w:val="nil"/>
                <w:between w:val="nil"/>
              </w:pBdr>
              <w:rPr>
                <w:color w:val="000000"/>
                <w:sz w:val="20"/>
                <w:szCs w:val="20"/>
              </w:rPr>
            </w:pPr>
            <w:r>
              <w:rPr>
                <w:color w:val="000000"/>
                <w:sz w:val="20"/>
                <w:szCs w:val="20"/>
              </w:rPr>
              <w:t>Alongside ongoing assessment for learning, standardised assessment is used to identify gaps in learning, providing a greater degree of accuracy against nationally agreed age related standards.</w:t>
            </w:r>
          </w:p>
          <w:p w:rsidR="00F11F99" w:rsidRDefault="00F11F99">
            <w:pPr>
              <w:pBdr>
                <w:top w:val="nil"/>
                <w:left w:val="nil"/>
                <w:bottom w:val="nil"/>
                <w:right w:val="nil"/>
                <w:between w:val="nil"/>
              </w:pBdr>
              <w:rPr>
                <w:color w:val="000000"/>
                <w:sz w:val="20"/>
                <w:szCs w:val="20"/>
                <w:highlight w:val="yellow"/>
              </w:rPr>
            </w:pPr>
          </w:p>
        </w:tc>
        <w:tc>
          <w:tcPr>
            <w:tcW w:w="4961" w:type="dxa"/>
            <w:tcMar>
              <w:top w:w="57" w:type="dxa"/>
              <w:bottom w:w="57" w:type="dxa"/>
            </w:tcMar>
          </w:tcPr>
          <w:p w:rsidR="00F11F99" w:rsidRPr="00244ED2" w:rsidRDefault="00244ED2" w:rsidP="00244ED2">
            <w:pPr>
              <w:pBdr>
                <w:top w:val="nil"/>
                <w:left w:val="nil"/>
                <w:bottom w:val="nil"/>
                <w:right w:val="nil"/>
                <w:between w:val="nil"/>
              </w:pBdr>
              <w:rPr>
                <w:b/>
                <w:i/>
                <w:sz w:val="20"/>
                <w:szCs w:val="20"/>
              </w:rPr>
            </w:pPr>
            <w:r w:rsidRPr="00244ED2">
              <w:rPr>
                <w:b/>
                <w:i/>
                <w:sz w:val="20"/>
                <w:szCs w:val="20"/>
              </w:rPr>
              <w:t>Purchase termly NFER standardised tests for years 3 to 6</w:t>
            </w:r>
          </w:p>
          <w:p w:rsidR="00F11F99" w:rsidRDefault="00F11F99">
            <w:pPr>
              <w:pBdr>
                <w:top w:val="nil"/>
                <w:left w:val="nil"/>
                <w:bottom w:val="nil"/>
                <w:right w:val="nil"/>
                <w:between w:val="nil"/>
              </w:pBdr>
              <w:jc w:val="right"/>
              <w:rPr>
                <w:color w:val="000000"/>
                <w:sz w:val="20"/>
                <w:szCs w:val="20"/>
              </w:rPr>
            </w:pPr>
          </w:p>
          <w:p w:rsidR="00244ED2" w:rsidRDefault="00244ED2">
            <w:pPr>
              <w:pBdr>
                <w:top w:val="nil"/>
                <w:left w:val="nil"/>
                <w:bottom w:val="nil"/>
                <w:right w:val="nil"/>
                <w:between w:val="nil"/>
              </w:pBdr>
              <w:jc w:val="right"/>
              <w:rPr>
                <w:color w:val="000000"/>
                <w:sz w:val="20"/>
                <w:szCs w:val="20"/>
              </w:rPr>
            </w:pPr>
          </w:p>
          <w:p w:rsidR="00244ED2" w:rsidRDefault="00244ED2">
            <w:pPr>
              <w:pBdr>
                <w:top w:val="nil"/>
                <w:left w:val="nil"/>
                <w:bottom w:val="nil"/>
                <w:right w:val="nil"/>
                <w:between w:val="nil"/>
              </w:pBdr>
              <w:jc w:val="right"/>
              <w:rPr>
                <w:color w:val="000000"/>
                <w:sz w:val="20"/>
                <w:szCs w:val="20"/>
              </w:rPr>
            </w:pPr>
          </w:p>
          <w:p w:rsidR="00244ED2" w:rsidRDefault="00244ED2">
            <w:pPr>
              <w:pBdr>
                <w:top w:val="nil"/>
                <w:left w:val="nil"/>
                <w:bottom w:val="nil"/>
                <w:right w:val="nil"/>
                <w:between w:val="nil"/>
              </w:pBdr>
              <w:jc w:val="right"/>
              <w:rPr>
                <w:color w:val="000000"/>
                <w:sz w:val="20"/>
                <w:szCs w:val="20"/>
              </w:rPr>
            </w:pPr>
          </w:p>
          <w:p w:rsidR="00244ED2" w:rsidRDefault="00244ED2">
            <w:pPr>
              <w:pBdr>
                <w:top w:val="nil"/>
                <w:left w:val="nil"/>
                <w:bottom w:val="nil"/>
                <w:right w:val="nil"/>
                <w:between w:val="nil"/>
              </w:pBdr>
              <w:jc w:val="right"/>
              <w:rPr>
                <w:color w:val="000000"/>
                <w:sz w:val="20"/>
                <w:szCs w:val="20"/>
              </w:rPr>
            </w:pPr>
          </w:p>
          <w:p w:rsidR="00244ED2" w:rsidRDefault="00244ED2">
            <w:pPr>
              <w:pBdr>
                <w:top w:val="nil"/>
                <w:left w:val="nil"/>
                <w:bottom w:val="nil"/>
                <w:right w:val="nil"/>
                <w:between w:val="nil"/>
              </w:pBdr>
              <w:jc w:val="right"/>
              <w:rPr>
                <w:color w:val="000000"/>
                <w:sz w:val="20"/>
                <w:szCs w:val="20"/>
              </w:rPr>
            </w:pPr>
            <w:r w:rsidRPr="00244ED2">
              <w:rPr>
                <w:color w:val="FF0000"/>
                <w:sz w:val="20"/>
                <w:szCs w:val="20"/>
              </w:rPr>
              <w:t>£</w:t>
            </w:r>
            <w:r w:rsidR="00E311B0">
              <w:rPr>
                <w:color w:val="FF0000"/>
                <w:sz w:val="20"/>
                <w:szCs w:val="20"/>
              </w:rPr>
              <w:t>1,200</w:t>
            </w:r>
          </w:p>
        </w:tc>
        <w:tc>
          <w:tcPr>
            <w:tcW w:w="3078" w:type="dxa"/>
            <w:tcMar>
              <w:top w:w="57" w:type="dxa"/>
              <w:bottom w:w="57" w:type="dxa"/>
            </w:tcMar>
          </w:tcPr>
          <w:p w:rsidR="00F11F99" w:rsidRDefault="00FD7BE4">
            <w:pPr>
              <w:rPr>
                <w:sz w:val="20"/>
                <w:szCs w:val="20"/>
              </w:rPr>
            </w:pPr>
            <w:r>
              <w:rPr>
                <w:sz w:val="20"/>
                <w:szCs w:val="20"/>
              </w:rPr>
              <w:t xml:space="preserve">Termly assessment using standardised tests in KS2 is enabling SLT and class teachers to identify pupils for targeted support and to identify gaps in teaching and learning which have occurred as a result of </w:t>
            </w:r>
            <w:proofErr w:type="spellStart"/>
            <w:r>
              <w:rPr>
                <w:sz w:val="20"/>
                <w:szCs w:val="20"/>
              </w:rPr>
              <w:t>Covid</w:t>
            </w:r>
            <w:proofErr w:type="spellEnd"/>
            <w:r>
              <w:rPr>
                <w:sz w:val="20"/>
                <w:szCs w:val="20"/>
              </w:rPr>
              <w:t xml:space="preserve"> lockdown and isolation. Across key stage 2 </w:t>
            </w:r>
            <w:r w:rsidR="00D92234">
              <w:rPr>
                <w:sz w:val="20"/>
                <w:szCs w:val="20"/>
              </w:rPr>
              <w:t>assessment shows that the majority of pupils are making at least expected progress in Reading and Maths. Emphasis now needs to be placed on using the resources to ensure pupils make accelerated progress in order to close the attainment gap.</w:t>
            </w:r>
          </w:p>
        </w:tc>
        <w:tc>
          <w:tcPr>
            <w:tcW w:w="1094" w:type="dxa"/>
            <w:shd w:val="clear" w:color="auto" w:fill="auto"/>
            <w:tcMar>
              <w:top w:w="57" w:type="dxa"/>
              <w:bottom w:w="57" w:type="dxa"/>
            </w:tcMar>
          </w:tcPr>
          <w:p w:rsidR="00244ED2" w:rsidRDefault="00244ED2">
            <w:pPr>
              <w:rPr>
                <w:sz w:val="20"/>
                <w:szCs w:val="20"/>
              </w:rPr>
            </w:pPr>
            <w:r>
              <w:rPr>
                <w:sz w:val="20"/>
                <w:szCs w:val="20"/>
              </w:rPr>
              <w:t>SE/ME</w:t>
            </w:r>
          </w:p>
        </w:tc>
        <w:tc>
          <w:tcPr>
            <w:tcW w:w="1178" w:type="dxa"/>
            <w:shd w:val="clear" w:color="auto" w:fill="auto"/>
          </w:tcPr>
          <w:p w:rsidR="00F11F99" w:rsidRDefault="00244ED2">
            <w:pPr>
              <w:rPr>
                <w:sz w:val="20"/>
                <w:szCs w:val="20"/>
              </w:rPr>
            </w:pPr>
            <w:r>
              <w:rPr>
                <w:sz w:val="20"/>
                <w:szCs w:val="20"/>
              </w:rPr>
              <w:t>Dec 20</w:t>
            </w:r>
          </w:p>
          <w:p w:rsidR="00244ED2" w:rsidRDefault="00244ED2">
            <w:pPr>
              <w:rPr>
                <w:sz w:val="20"/>
                <w:szCs w:val="20"/>
              </w:rPr>
            </w:pPr>
          </w:p>
          <w:p w:rsidR="00244ED2" w:rsidRDefault="00244ED2">
            <w:pPr>
              <w:rPr>
                <w:sz w:val="20"/>
                <w:szCs w:val="20"/>
              </w:rPr>
            </w:pPr>
            <w:r>
              <w:rPr>
                <w:sz w:val="20"/>
                <w:szCs w:val="20"/>
              </w:rPr>
              <w:t>Apr 21</w:t>
            </w:r>
          </w:p>
          <w:p w:rsidR="00244ED2" w:rsidRDefault="00244ED2">
            <w:pPr>
              <w:rPr>
                <w:sz w:val="20"/>
                <w:szCs w:val="20"/>
              </w:rPr>
            </w:pPr>
          </w:p>
          <w:p w:rsidR="00244ED2" w:rsidRDefault="00244ED2">
            <w:pPr>
              <w:rPr>
                <w:sz w:val="20"/>
                <w:szCs w:val="20"/>
              </w:rPr>
            </w:pPr>
            <w:r>
              <w:rPr>
                <w:sz w:val="20"/>
                <w:szCs w:val="20"/>
              </w:rPr>
              <w:t>July 21</w:t>
            </w:r>
          </w:p>
          <w:p w:rsidR="00244ED2" w:rsidRDefault="00244ED2">
            <w:pPr>
              <w:rPr>
                <w:sz w:val="20"/>
                <w:szCs w:val="20"/>
              </w:rPr>
            </w:pPr>
          </w:p>
          <w:p w:rsidR="00244ED2" w:rsidRDefault="00244ED2">
            <w:pPr>
              <w:rPr>
                <w:sz w:val="20"/>
                <w:szCs w:val="20"/>
              </w:rPr>
            </w:pPr>
          </w:p>
        </w:tc>
      </w:tr>
      <w:tr w:rsidR="00F11F99">
        <w:trPr>
          <w:trHeight w:val="387"/>
        </w:trPr>
        <w:tc>
          <w:tcPr>
            <w:tcW w:w="13948" w:type="dxa"/>
            <w:gridSpan w:val="4"/>
            <w:tcMar>
              <w:top w:w="57" w:type="dxa"/>
              <w:bottom w:w="57" w:type="dxa"/>
            </w:tcMar>
          </w:tcPr>
          <w:p w:rsidR="00F11F99" w:rsidRDefault="00F2056D">
            <w:pPr>
              <w:jc w:val="right"/>
              <w:rPr>
                <w:color w:val="FF0000"/>
                <w:sz w:val="20"/>
                <w:szCs w:val="20"/>
              </w:rPr>
            </w:pPr>
            <w:r>
              <w:rPr>
                <w:b/>
                <w:color w:val="FF0000"/>
                <w:sz w:val="20"/>
                <w:szCs w:val="20"/>
              </w:rPr>
              <w:lastRenderedPageBreak/>
              <w:t>Total budgeted cost</w:t>
            </w:r>
          </w:p>
        </w:tc>
        <w:tc>
          <w:tcPr>
            <w:tcW w:w="1178" w:type="dxa"/>
          </w:tcPr>
          <w:p w:rsidR="00F11F99" w:rsidRDefault="00C3578D" w:rsidP="00C3578D">
            <w:pPr>
              <w:rPr>
                <w:b/>
                <w:color w:val="FF0000"/>
                <w:sz w:val="20"/>
                <w:szCs w:val="20"/>
              </w:rPr>
            </w:pPr>
            <w:r>
              <w:rPr>
                <w:b/>
                <w:color w:val="FF0000"/>
                <w:sz w:val="20"/>
                <w:szCs w:val="20"/>
              </w:rPr>
              <w:t>£</w:t>
            </w:r>
            <w:r w:rsidR="00E311B0">
              <w:rPr>
                <w:b/>
                <w:color w:val="FF0000"/>
                <w:sz w:val="20"/>
                <w:szCs w:val="20"/>
              </w:rPr>
              <w:t>5,520</w:t>
            </w:r>
          </w:p>
        </w:tc>
      </w:tr>
    </w:tbl>
    <w:p w:rsidR="00F11F99" w:rsidRDefault="00F11F99">
      <w:pPr>
        <w:rPr>
          <w:sz w:val="18"/>
          <w:szCs w:val="18"/>
        </w:rPr>
      </w:pPr>
    </w:p>
    <w:p w:rsidR="00F11F99" w:rsidRDefault="00F11F99">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F11F99" w:rsidTr="00FE3302">
        <w:trPr>
          <w:trHeight w:val="312"/>
        </w:trPr>
        <w:tc>
          <w:tcPr>
            <w:tcW w:w="15126" w:type="dxa"/>
            <w:gridSpan w:val="5"/>
            <w:shd w:val="clear" w:color="auto" w:fill="FF0000"/>
            <w:tcMar>
              <w:top w:w="57" w:type="dxa"/>
              <w:bottom w:w="57" w:type="dxa"/>
            </w:tcMar>
          </w:tcPr>
          <w:p w:rsidR="00F11F99" w:rsidRDefault="00F2056D" w:rsidP="00FE3302">
            <w:pPr>
              <w:numPr>
                <w:ilvl w:val="0"/>
                <w:numId w:val="3"/>
              </w:numPr>
              <w:pBdr>
                <w:top w:val="nil"/>
                <w:left w:val="nil"/>
                <w:bottom w:val="nil"/>
                <w:right w:val="nil"/>
                <w:between w:val="nil"/>
              </w:pBdr>
              <w:shd w:val="clear" w:color="auto" w:fill="FF0000"/>
              <w:rPr>
                <w:b/>
                <w:color w:val="000000"/>
                <w:sz w:val="20"/>
                <w:szCs w:val="20"/>
              </w:rPr>
            </w:pPr>
            <w:r>
              <w:rPr>
                <w:b/>
                <w:color w:val="000000"/>
                <w:sz w:val="20"/>
                <w:szCs w:val="20"/>
              </w:rPr>
              <w:t>Targeted approaches</w:t>
            </w:r>
          </w:p>
        </w:tc>
      </w:tr>
      <w:tr w:rsidR="00F11F99">
        <w:tc>
          <w:tcPr>
            <w:tcW w:w="5098" w:type="dxa"/>
            <w:tcMar>
              <w:top w:w="57" w:type="dxa"/>
              <w:bottom w:w="57" w:type="dxa"/>
            </w:tcMar>
          </w:tcPr>
          <w:p w:rsidR="00F11F99" w:rsidRDefault="00F2056D">
            <w:pPr>
              <w:rPr>
                <w:b/>
                <w:sz w:val="20"/>
                <w:szCs w:val="20"/>
              </w:rPr>
            </w:pPr>
            <w:r>
              <w:rPr>
                <w:b/>
                <w:sz w:val="20"/>
                <w:szCs w:val="20"/>
              </w:rPr>
              <w:t>Desired outcome</w:t>
            </w:r>
          </w:p>
        </w:tc>
        <w:tc>
          <w:tcPr>
            <w:tcW w:w="4678" w:type="dxa"/>
            <w:tcMar>
              <w:top w:w="57" w:type="dxa"/>
              <w:bottom w:w="57" w:type="dxa"/>
            </w:tcMar>
          </w:tcPr>
          <w:p w:rsidR="00F11F99" w:rsidRDefault="00F2056D">
            <w:pPr>
              <w:rPr>
                <w:b/>
                <w:sz w:val="20"/>
                <w:szCs w:val="20"/>
              </w:rPr>
            </w:pPr>
            <w:r>
              <w:rPr>
                <w:b/>
                <w:sz w:val="20"/>
                <w:szCs w:val="20"/>
              </w:rPr>
              <w:t>Chosen action/approach</w:t>
            </w:r>
          </w:p>
        </w:tc>
        <w:tc>
          <w:tcPr>
            <w:tcW w:w="3119" w:type="dxa"/>
            <w:tcMar>
              <w:top w:w="57" w:type="dxa"/>
              <w:bottom w:w="57" w:type="dxa"/>
            </w:tcMar>
          </w:tcPr>
          <w:p w:rsidR="00F11F99" w:rsidRDefault="00F2056D">
            <w:pPr>
              <w:rPr>
                <w:b/>
                <w:sz w:val="20"/>
                <w:szCs w:val="20"/>
              </w:rPr>
            </w:pPr>
            <w:r>
              <w:rPr>
                <w:b/>
                <w:sz w:val="20"/>
                <w:szCs w:val="20"/>
              </w:rPr>
              <w:t>Impact (once reviewed)</w:t>
            </w:r>
          </w:p>
        </w:tc>
        <w:tc>
          <w:tcPr>
            <w:tcW w:w="1134" w:type="dxa"/>
            <w:tcMar>
              <w:top w:w="57" w:type="dxa"/>
              <w:bottom w:w="57" w:type="dxa"/>
            </w:tcMar>
          </w:tcPr>
          <w:p w:rsidR="00F11F99" w:rsidRDefault="00F2056D">
            <w:pPr>
              <w:rPr>
                <w:b/>
                <w:sz w:val="20"/>
                <w:szCs w:val="20"/>
              </w:rPr>
            </w:pPr>
            <w:r>
              <w:rPr>
                <w:b/>
                <w:sz w:val="20"/>
                <w:szCs w:val="20"/>
              </w:rPr>
              <w:t>Staff lead</w:t>
            </w:r>
          </w:p>
        </w:tc>
        <w:tc>
          <w:tcPr>
            <w:tcW w:w="1097" w:type="dxa"/>
          </w:tcPr>
          <w:p w:rsidR="00F11F99" w:rsidRDefault="00F2056D">
            <w:pPr>
              <w:rPr>
                <w:b/>
                <w:sz w:val="20"/>
                <w:szCs w:val="20"/>
              </w:rPr>
            </w:pPr>
            <w:r>
              <w:rPr>
                <w:b/>
                <w:sz w:val="20"/>
                <w:szCs w:val="20"/>
              </w:rPr>
              <w:t>Review date?</w:t>
            </w:r>
          </w:p>
        </w:tc>
      </w:tr>
      <w:tr w:rsidR="00F11F99">
        <w:tc>
          <w:tcPr>
            <w:tcW w:w="5098" w:type="dxa"/>
            <w:tcMar>
              <w:top w:w="57" w:type="dxa"/>
              <w:bottom w:w="57" w:type="dxa"/>
            </w:tcMar>
          </w:tcPr>
          <w:p w:rsidR="00F11F99" w:rsidRDefault="00FE382A">
            <w:pPr>
              <w:pBdr>
                <w:top w:val="nil"/>
                <w:left w:val="nil"/>
                <w:bottom w:val="nil"/>
                <w:right w:val="nil"/>
                <w:between w:val="nil"/>
              </w:pBdr>
              <w:rPr>
                <w:color w:val="000000"/>
                <w:sz w:val="20"/>
                <w:szCs w:val="20"/>
                <w:u w:val="single"/>
              </w:rPr>
            </w:pPr>
            <w:r>
              <w:rPr>
                <w:color w:val="000000"/>
                <w:sz w:val="20"/>
                <w:szCs w:val="20"/>
                <w:u w:val="single"/>
              </w:rPr>
              <w:t>1-to-1 targeted intervention – teacher led</w:t>
            </w:r>
          </w:p>
          <w:p w:rsidR="00F11F99" w:rsidRDefault="00FE382A" w:rsidP="00E311B0">
            <w:pPr>
              <w:pBdr>
                <w:top w:val="nil"/>
                <w:left w:val="nil"/>
                <w:bottom w:val="nil"/>
                <w:right w:val="nil"/>
                <w:between w:val="nil"/>
              </w:pBdr>
              <w:rPr>
                <w:color w:val="000000"/>
                <w:sz w:val="20"/>
                <w:szCs w:val="20"/>
              </w:rPr>
            </w:pPr>
            <w:r>
              <w:rPr>
                <w:color w:val="000000"/>
                <w:sz w:val="20"/>
                <w:szCs w:val="20"/>
              </w:rPr>
              <w:t xml:space="preserve">Assessment and pupil progress reviews used to identify pupils from Y1-6 needing to make accelerated progress in Writing and Maths in order to close the attainment gap and reach age related expectations. </w:t>
            </w:r>
          </w:p>
        </w:tc>
        <w:tc>
          <w:tcPr>
            <w:tcW w:w="4678" w:type="dxa"/>
            <w:tcMar>
              <w:top w:w="57" w:type="dxa"/>
              <w:bottom w:w="57" w:type="dxa"/>
            </w:tcMar>
          </w:tcPr>
          <w:p w:rsidR="00F11F99" w:rsidRDefault="00877968">
            <w:pPr>
              <w:pBdr>
                <w:top w:val="nil"/>
                <w:left w:val="nil"/>
                <w:bottom w:val="nil"/>
                <w:right w:val="nil"/>
                <w:between w:val="nil"/>
              </w:pBdr>
              <w:rPr>
                <w:b/>
                <w:i/>
                <w:color w:val="000000"/>
                <w:sz w:val="20"/>
                <w:szCs w:val="20"/>
              </w:rPr>
            </w:pPr>
            <w:r>
              <w:rPr>
                <w:b/>
                <w:i/>
                <w:color w:val="000000"/>
                <w:sz w:val="20"/>
                <w:szCs w:val="20"/>
              </w:rPr>
              <w:t xml:space="preserve">Teacher will </w:t>
            </w:r>
            <w:r w:rsidR="00FE382A">
              <w:rPr>
                <w:b/>
                <w:i/>
                <w:color w:val="000000"/>
                <w:sz w:val="20"/>
                <w:szCs w:val="20"/>
              </w:rPr>
              <w:t xml:space="preserve">work with identified </w:t>
            </w:r>
            <w:r w:rsidR="008164C2">
              <w:rPr>
                <w:b/>
                <w:i/>
                <w:color w:val="000000"/>
                <w:sz w:val="20"/>
                <w:szCs w:val="20"/>
              </w:rPr>
              <w:t>pupils to identify and continually review next steps in learning with pupils, moving learning on rapidly with clearly achievable targets.</w:t>
            </w:r>
          </w:p>
          <w:p w:rsidR="00FE382A" w:rsidRDefault="00FE382A">
            <w:pPr>
              <w:pBdr>
                <w:top w:val="nil"/>
                <w:left w:val="nil"/>
                <w:bottom w:val="nil"/>
                <w:right w:val="nil"/>
                <w:between w:val="nil"/>
              </w:pBdr>
              <w:rPr>
                <w:b/>
                <w:i/>
                <w:color w:val="000000"/>
                <w:sz w:val="20"/>
                <w:szCs w:val="20"/>
              </w:rPr>
            </w:pPr>
          </w:p>
          <w:p w:rsidR="00F11F99" w:rsidRDefault="00877968" w:rsidP="00E311B0">
            <w:pPr>
              <w:pBdr>
                <w:top w:val="nil"/>
                <w:left w:val="nil"/>
                <w:bottom w:val="nil"/>
                <w:right w:val="nil"/>
                <w:between w:val="nil"/>
              </w:pBdr>
              <w:jc w:val="right"/>
              <w:rPr>
                <w:color w:val="000000"/>
                <w:sz w:val="20"/>
                <w:szCs w:val="20"/>
              </w:rPr>
            </w:pPr>
            <w:r>
              <w:rPr>
                <w:b/>
                <w:i/>
                <w:color w:val="FF0000"/>
                <w:sz w:val="20"/>
                <w:szCs w:val="20"/>
              </w:rPr>
              <w:t>£</w:t>
            </w:r>
            <w:r w:rsidR="008164C2">
              <w:rPr>
                <w:b/>
                <w:i/>
                <w:color w:val="FF0000"/>
                <w:sz w:val="20"/>
                <w:szCs w:val="20"/>
              </w:rPr>
              <w:t>10,000</w:t>
            </w:r>
          </w:p>
        </w:tc>
        <w:tc>
          <w:tcPr>
            <w:tcW w:w="3119" w:type="dxa"/>
            <w:tcMar>
              <w:top w:w="57" w:type="dxa"/>
              <w:bottom w:w="57" w:type="dxa"/>
            </w:tcMar>
          </w:tcPr>
          <w:p w:rsidR="00F11F99" w:rsidRDefault="00D92234">
            <w:pPr>
              <w:rPr>
                <w:sz w:val="20"/>
                <w:szCs w:val="20"/>
              </w:rPr>
            </w:pPr>
            <w:r>
              <w:rPr>
                <w:sz w:val="20"/>
                <w:szCs w:val="20"/>
              </w:rPr>
              <w:t xml:space="preserve">Impact was slowed by further </w:t>
            </w:r>
            <w:proofErr w:type="spellStart"/>
            <w:r>
              <w:rPr>
                <w:sz w:val="20"/>
                <w:szCs w:val="20"/>
              </w:rPr>
              <w:t>Covid</w:t>
            </w:r>
            <w:proofErr w:type="spellEnd"/>
            <w:r>
              <w:rPr>
                <w:sz w:val="20"/>
                <w:szCs w:val="20"/>
              </w:rPr>
              <w:t xml:space="preserve"> lockdown in Jan-March 21 and subsequent staff and pupil periods of isolation during the year.</w:t>
            </w:r>
          </w:p>
          <w:p w:rsidR="00022E05" w:rsidRPr="00022E05" w:rsidRDefault="00022E05">
            <w:pPr>
              <w:rPr>
                <w:b/>
                <w:sz w:val="20"/>
                <w:szCs w:val="20"/>
              </w:rPr>
            </w:pPr>
            <w:r w:rsidRPr="00022E05">
              <w:rPr>
                <w:b/>
                <w:sz w:val="20"/>
                <w:szCs w:val="20"/>
              </w:rPr>
              <w:t>% pupils targeted for 1:1 intervention:</w:t>
            </w:r>
          </w:p>
          <w:p w:rsidR="00022E05" w:rsidRDefault="00022E05">
            <w:pPr>
              <w:rPr>
                <w:sz w:val="20"/>
                <w:szCs w:val="20"/>
              </w:rPr>
            </w:pPr>
            <w:r>
              <w:rPr>
                <w:sz w:val="20"/>
                <w:szCs w:val="20"/>
              </w:rPr>
              <w:t>Writing: 67% accelerated progress</w:t>
            </w:r>
          </w:p>
          <w:p w:rsidR="00022E05" w:rsidRDefault="00022E05">
            <w:pPr>
              <w:rPr>
                <w:sz w:val="20"/>
                <w:szCs w:val="20"/>
              </w:rPr>
            </w:pPr>
            <w:r>
              <w:rPr>
                <w:sz w:val="20"/>
                <w:szCs w:val="20"/>
              </w:rPr>
              <w:t xml:space="preserve">Maths: </w:t>
            </w:r>
            <w:r w:rsidR="00235D66">
              <w:rPr>
                <w:sz w:val="20"/>
                <w:szCs w:val="20"/>
              </w:rPr>
              <w:t>54</w:t>
            </w:r>
            <w:r w:rsidR="008A251F">
              <w:rPr>
                <w:sz w:val="20"/>
                <w:szCs w:val="20"/>
              </w:rPr>
              <w:t>% accelerated progress</w:t>
            </w:r>
          </w:p>
        </w:tc>
        <w:tc>
          <w:tcPr>
            <w:tcW w:w="1134" w:type="dxa"/>
            <w:tcMar>
              <w:top w:w="57" w:type="dxa"/>
              <w:bottom w:w="57" w:type="dxa"/>
            </w:tcMar>
          </w:tcPr>
          <w:p w:rsidR="00F11F99" w:rsidRDefault="008164C2">
            <w:pPr>
              <w:rPr>
                <w:sz w:val="20"/>
                <w:szCs w:val="20"/>
              </w:rPr>
            </w:pPr>
            <w:r>
              <w:rPr>
                <w:sz w:val="20"/>
                <w:szCs w:val="20"/>
              </w:rPr>
              <w:t>SE</w:t>
            </w:r>
          </w:p>
          <w:p w:rsidR="00F11F99" w:rsidRDefault="00F11F99">
            <w:pPr>
              <w:rPr>
                <w:sz w:val="20"/>
                <w:szCs w:val="20"/>
              </w:rPr>
            </w:pPr>
          </w:p>
          <w:p w:rsidR="00F11F99" w:rsidRDefault="00F11F99">
            <w:pPr>
              <w:rPr>
                <w:sz w:val="20"/>
                <w:szCs w:val="20"/>
              </w:rPr>
            </w:pPr>
          </w:p>
          <w:p w:rsidR="00F11F99" w:rsidRDefault="00F11F99">
            <w:pPr>
              <w:rPr>
                <w:sz w:val="20"/>
                <w:szCs w:val="20"/>
              </w:rPr>
            </w:pPr>
          </w:p>
          <w:p w:rsidR="00F11F99" w:rsidRDefault="00F11F99">
            <w:pPr>
              <w:rPr>
                <w:sz w:val="20"/>
                <w:szCs w:val="20"/>
              </w:rPr>
            </w:pPr>
          </w:p>
          <w:p w:rsidR="00F11F99" w:rsidRDefault="00F11F99">
            <w:pPr>
              <w:rPr>
                <w:sz w:val="20"/>
                <w:szCs w:val="20"/>
              </w:rPr>
            </w:pPr>
          </w:p>
          <w:p w:rsidR="00F11F99" w:rsidRDefault="00F11F99">
            <w:pPr>
              <w:rPr>
                <w:sz w:val="20"/>
                <w:szCs w:val="20"/>
              </w:rPr>
            </w:pPr>
          </w:p>
        </w:tc>
        <w:tc>
          <w:tcPr>
            <w:tcW w:w="1097" w:type="dxa"/>
          </w:tcPr>
          <w:p w:rsidR="00F11F99" w:rsidRDefault="008164C2">
            <w:pPr>
              <w:rPr>
                <w:sz w:val="20"/>
                <w:szCs w:val="20"/>
              </w:rPr>
            </w:pPr>
            <w:r>
              <w:rPr>
                <w:sz w:val="20"/>
                <w:szCs w:val="20"/>
              </w:rPr>
              <w:t>Jan 21</w:t>
            </w:r>
          </w:p>
          <w:p w:rsidR="008164C2" w:rsidRDefault="008164C2">
            <w:pPr>
              <w:rPr>
                <w:sz w:val="20"/>
                <w:szCs w:val="20"/>
              </w:rPr>
            </w:pPr>
            <w:r>
              <w:rPr>
                <w:sz w:val="20"/>
                <w:szCs w:val="20"/>
              </w:rPr>
              <w:t xml:space="preserve">Apr 21 </w:t>
            </w:r>
          </w:p>
          <w:p w:rsidR="00F11F99" w:rsidRDefault="008164C2">
            <w:pPr>
              <w:rPr>
                <w:sz w:val="20"/>
                <w:szCs w:val="20"/>
              </w:rPr>
            </w:pPr>
            <w:r>
              <w:rPr>
                <w:sz w:val="20"/>
                <w:szCs w:val="20"/>
              </w:rPr>
              <w:t>Jul 21</w:t>
            </w:r>
          </w:p>
          <w:p w:rsidR="00F11F99" w:rsidRDefault="00F11F99">
            <w:pPr>
              <w:rPr>
                <w:sz w:val="20"/>
                <w:szCs w:val="20"/>
              </w:rPr>
            </w:pPr>
          </w:p>
          <w:p w:rsidR="00F11F99" w:rsidRDefault="00F11F99">
            <w:pPr>
              <w:rPr>
                <w:sz w:val="20"/>
                <w:szCs w:val="20"/>
              </w:rPr>
            </w:pPr>
          </w:p>
          <w:p w:rsidR="00F11F99" w:rsidRDefault="00F11F99">
            <w:pPr>
              <w:rPr>
                <w:sz w:val="20"/>
                <w:szCs w:val="20"/>
              </w:rPr>
            </w:pPr>
          </w:p>
          <w:p w:rsidR="00F11F99" w:rsidRDefault="00F11F99">
            <w:pPr>
              <w:rPr>
                <w:sz w:val="20"/>
                <w:szCs w:val="20"/>
              </w:rPr>
            </w:pPr>
          </w:p>
          <w:p w:rsidR="00F11F99" w:rsidRDefault="00F11F99">
            <w:pPr>
              <w:rPr>
                <w:sz w:val="20"/>
                <w:szCs w:val="20"/>
              </w:rPr>
            </w:pPr>
          </w:p>
        </w:tc>
      </w:tr>
      <w:tr w:rsidR="00F11F99">
        <w:trPr>
          <w:trHeight w:val="458"/>
        </w:trPr>
        <w:tc>
          <w:tcPr>
            <w:tcW w:w="14029" w:type="dxa"/>
            <w:gridSpan w:val="4"/>
            <w:tcMar>
              <w:top w:w="57" w:type="dxa"/>
              <w:bottom w:w="57" w:type="dxa"/>
            </w:tcMar>
          </w:tcPr>
          <w:p w:rsidR="00F11F99" w:rsidRDefault="00F2056D">
            <w:pPr>
              <w:jc w:val="right"/>
              <w:rPr>
                <w:color w:val="FF0000"/>
                <w:sz w:val="20"/>
                <w:szCs w:val="20"/>
              </w:rPr>
            </w:pPr>
            <w:r>
              <w:rPr>
                <w:b/>
                <w:color w:val="FF0000"/>
                <w:sz w:val="20"/>
                <w:szCs w:val="20"/>
              </w:rPr>
              <w:t>Total budgeted cost</w:t>
            </w:r>
          </w:p>
        </w:tc>
        <w:tc>
          <w:tcPr>
            <w:tcW w:w="1097" w:type="dxa"/>
          </w:tcPr>
          <w:p w:rsidR="00F11F99" w:rsidRDefault="00F2056D" w:rsidP="00376333">
            <w:pPr>
              <w:rPr>
                <w:b/>
                <w:color w:val="FF0000"/>
                <w:sz w:val="20"/>
                <w:szCs w:val="20"/>
              </w:rPr>
            </w:pPr>
            <w:r>
              <w:rPr>
                <w:b/>
                <w:color w:val="FF0000"/>
                <w:sz w:val="20"/>
                <w:szCs w:val="20"/>
              </w:rPr>
              <w:t>£</w:t>
            </w:r>
            <w:r w:rsidR="00E311B0">
              <w:rPr>
                <w:b/>
                <w:color w:val="FF0000"/>
                <w:sz w:val="20"/>
                <w:szCs w:val="20"/>
              </w:rPr>
              <w:t>10,000</w:t>
            </w:r>
          </w:p>
        </w:tc>
      </w:tr>
    </w:tbl>
    <w:p w:rsidR="00F11F99" w:rsidRDefault="00F11F99">
      <w:pPr>
        <w:rPr>
          <w:sz w:val="18"/>
          <w:szCs w:val="18"/>
        </w:rPr>
      </w:pPr>
    </w:p>
    <w:p w:rsidR="00F11F99" w:rsidRDefault="00F11F99">
      <w:pPr>
        <w:rPr>
          <w:sz w:val="18"/>
          <w:szCs w:val="18"/>
        </w:rPr>
      </w:pPr>
    </w:p>
    <w:p w:rsidR="00F11F99" w:rsidRDefault="00F11F99">
      <w:pPr>
        <w:rPr>
          <w:sz w:val="18"/>
          <w:szCs w:val="18"/>
        </w:rPr>
      </w:pPr>
    </w:p>
    <w:p w:rsidR="00F11F99" w:rsidRDefault="00F11F99">
      <w:pPr>
        <w:rPr>
          <w:sz w:val="18"/>
          <w:szCs w:val="18"/>
        </w:rPr>
      </w:pPr>
    </w:p>
    <w:p w:rsidR="00F11F99" w:rsidRDefault="00F11F99">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F11F99" w:rsidTr="00FE3302">
        <w:trPr>
          <w:trHeight w:val="312"/>
        </w:trPr>
        <w:tc>
          <w:tcPr>
            <w:tcW w:w="15131" w:type="dxa"/>
            <w:gridSpan w:val="5"/>
            <w:shd w:val="clear" w:color="auto" w:fill="FF0000"/>
            <w:tcMar>
              <w:top w:w="57" w:type="dxa"/>
              <w:bottom w:w="57" w:type="dxa"/>
            </w:tcMar>
          </w:tcPr>
          <w:p w:rsidR="00F11F99" w:rsidRDefault="00F2056D">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F11F99">
        <w:tc>
          <w:tcPr>
            <w:tcW w:w="4957" w:type="dxa"/>
            <w:tcMar>
              <w:top w:w="57" w:type="dxa"/>
              <w:bottom w:w="57" w:type="dxa"/>
            </w:tcMar>
          </w:tcPr>
          <w:p w:rsidR="00F11F99" w:rsidRDefault="00F2056D">
            <w:pPr>
              <w:rPr>
                <w:b/>
                <w:sz w:val="20"/>
                <w:szCs w:val="20"/>
              </w:rPr>
            </w:pPr>
            <w:r>
              <w:rPr>
                <w:b/>
                <w:sz w:val="20"/>
                <w:szCs w:val="20"/>
              </w:rPr>
              <w:t>Desired outcome</w:t>
            </w:r>
          </w:p>
        </w:tc>
        <w:tc>
          <w:tcPr>
            <w:tcW w:w="4824" w:type="dxa"/>
            <w:tcMar>
              <w:top w:w="57" w:type="dxa"/>
              <w:bottom w:w="57" w:type="dxa"/>
            </w:tcMar>
          </w:tcPr>
          <w:p w:rsidR="00F11F99" w:rsidRDefault="00F2056D">
            <w:pPr>
              <w:rPr>
                <w:b/>
                <w:sz w:val="20"/>
                <w:szCs w:val="20"/>
              </w:rPr>
            </w:pPr>
            <w:r>
              <w:rPr>
                <w:b/>
                <w:sz w:val="20"/>
                <w:szCs w:val="20"/>
              </w:rPr>
              <w:t>Chosen action/approach</w:t>
            </w:r>
          </w:p>
        </w:tc>
        <w:tc>
          <w:tcPr>
            <w:tcW w:w="3119" w:type="dxa"/>
            <w:tcMar>
              <w:top w:w="57" w:type="dxa"/>
              <w:bottom w:w="57" w:type="dxa"/>
            </w:tcMar>
          </w:tcPr>
          <w:p w:rsidR="00F11F99" w:rsidRDefault="00F2056D">
            <w:pPr>
              <w:rPr>
                <w:b/>
                <w:sz w:val="20"/>
                <w:szCs w:val="20"/>
              </w:rPr>
            </w:pPr>
            <w:r>
              <w:rPr>
                <w:b/>
                <w:sz w:val="20"/>
                <w:szCs w:val="20"/>
              </w:rPr>
              <w:t>Impact (once reviewed)</w:t>
            </w:r>
          </w:p>
        </w:tc>
        <w:tc>
          <w:tcPr>
            <w:tcW w:w="1134" w:type="dxa"/>
            <w:tcMar>
              <w:top w:w="57" w:type="dxa"/>
              <w:bottom w:w="57" w:type="dxa"/>
            </w:tcMar>
          </w:tcPr>
          <w:p w:rsidR="00F11F99" w:rsidRDefault="00F2056D">
            <w:pPr>
              <w:rPr>
                <w:b/>
                <w:sz w:val="20"/>
                <w:szCs w:val="20"/>
              </w:rPr>
            </w:pPr>
            <w:r>
              <w:rPr>
                <w:b/>
                <w:sz w:val="20"/>
                <w:szCs w:val="20"/>
              </w:rPr>
              <w:t>Staff lead</w:t>
            </w:r>
          </w:p>
        </w:tc>
        <w:tc>
          <w:tcPr>
            <w:tcW w:w="1097" w:type="dxa"/>
          </w:tcPr>
          <w:p w:rsidR="00F11F99" w:rsidRDefault="00F2056D">
            <w:pPr>
              <w:rPr>
                <w:b/>
                <w:sz w:val="20"/>
                <w:szCs w:val="20"/>
              </w:rPr>
            </w:pPr>
            <w:r>
              <w:rPr>
                <w:b/>
                <w:sz w:val="20"/>
                <w:szCs w:val="20"/>
              </w:rPr>
              <w:t>Review date?</w:t>
            </w:r>
          </w:p>
        </w:tc>
      </w:tr>
      <w:tr w:rsidR="00F52FE8" w:rsidTr="00AB2D5C">
        <w:trPr>
          <w:trHeight w:val="2997"/>
        </w:trPr>
        <w:tc>
          <w:tcPr>
            <w:tcW w:w="4957" w:type="dxa"/>
            <w:tcMar>
              <w:top w:w="57" w:type="dxa"/>
              <w:bottom w:w="57" w:type="dxa"/>
            </w:tcMar>
          </w:tcPr>
          <w:p w:rsidR="00F52FE8" w:rsidRDefault="00F52FE8">
            <w:pPr>
              <w:rPr>
                <w:sz w:val="20"/>
                <w:szCs w:val="20"/>
                <w:u w:val="single"/>
              </w:rPr>
            </w:pPr>
            <w:r>
              <w:rPr>
                <w:sz w:val="20"/>
                <w:szCs w:val="20"/>
                <w:u w:val="single"/>
              </w:rPr>
              <w:t>Supporting parents and carers</w:t>
            </w:r>
          </w:p>
          <w:p w:rsidR="00F52FE8" w:rsidRDefault="00F52FE8">
            <w:pPr>
              <w:rPr>
                <w:sz w:val="20"/>
                <w:szCs w:val="20"/>
              </w:rPr>
            </w:pPr>
          </w:p>
          <w:p w:rsidR="00F52FE8" w:rsidRDefault="00F52FE8">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rsidR="00F52FE8" w:rsidRDefault="00F52FE8">
            <w:pPr>
              <w:rPr>
                <w:sz w:val="20"/>
                <w:szCs w:val="20"/>
              </w:rPr>
            </w:pPr>
          </w:p>
          <w:p w:rsidR="00F52FE8" w:rsidRDefault="00F52FE8">
            <w:pPr>
              <w:rPr>
                <w:sz w:val="20"/>
                <w:szCs w:val="20"/>
              </w:rPr>
            </w:pPr>
          </w:p>
          <w:p w:rsidR="00F52FE8" w:rsidRDefault="00F52FE8" w:rsidP="00AB2D5C">
            <w:pPr>
              <w:rPr>
                <w:sz w:val="20"/>
                <w:szCs w:val="20"/>
              </w:rPr>
            </w:pPr>
          </w:p>
        </w:tc>
        <w:tc>
          <w:tcPr>
            <w:tcW w:w="4824" w:type="dxa"/>
            <w:tcMar>
              <w:top w:w="57" w:type="dxa"/>
              <w:bottom w:w="57" w:type="dxa"/>
            </w:tcMar>
          </w:tcPr>
          <w:p w:rsidR="00F52FE8" w:rsidRDefault="00F52FE8" w:rsidP="00AB2D5C">
            <w:pPr>
              <w:pBdr>
                <w:top w:val="nil"/>
                <w:left w:val="nil"/>
                <w:bottom w:val="nil"/>
                <w:right w:val="nil"/>
                <w:between w:val="nil"/>
              </w:pBdr>
              <w:rPr>
                <w:b/>
                <w:i/>
                <w:color w:val="000000"/>
                <w:sz w:val="20"/>
                <w:szCs w:val="20"/>
              </w:rPr>
            </w:pPr>
            <w:r>
              <w:rPr>
                <w:b/>
                <w:i/>
                <w:color w:val="000000"/>
                <w:sz w:val="20"/>
                <w:szCs w:val="20"/>
              </w:rPr>
              <w:t xml:space="preserve">Additional online learning resources will be purchased, such as TT Rock Star and </w:t>
            </w:r>
            <w:proofErr w:type="spellStart"/>
            <w:r>
              <w:rPr>
                <w:b/>
                <w:i/>
                <w:color w:val="000000"/>
                <w:sz w:val="20"/>
                <w:szCs w:val="20"/>
              </w:rPr>
              <w:t>Nessy</w:t>
            </w:r>
            <w:proofErr w:type="spellEnd"/>
            <w:r>
              <w:rPr>
                <w:b/>
                <w:i/>
                <w:color w:val="000000"/>
                <w:sz w:val="20"/>
                <w:szCs w:val="20"/>
              </w:rPr>
              <w:t xml:space="preserve"> will so that children can practise key skills at home in an engaging, child friendly way.</w:t>
            </w:r>
          </w:p>
          <w:p w:rsidR="00F52FE8" w:rsidRDefault="00F52FE8" w:rsidP="00AB2D5C">
            <w:pPr>
              <w:pBdr>
                <w:top w:val="nil"/>
                <w:left w:val="nil"/>
                <w:bottom w:val="nil"/>
                <w:right w:val="nil"/>
                <w:between w:val="nil"/>
              </w:pBdr>
              <w:jc w:val="right"/>
              <w:rPr>
                <w:b/>
                <w:i/>
                <w:color w:val="FF0000"/>
                <w:sz w:val="20"/>
                <w:szCs w:val="20"/>
              </w:rPr>
            </w:pPr>
            <w:r>
              <w:rPr>
                <w:b/>
                <w:i/>
                <w:color w:val="FF0000"/>
                <w:sz w:val="20"/>
                <w:szCs w:val="20"/>
              </w:rPr>
              <w:t>£975</w:t>
            </w:r>
          </w:p>
          <w:p w:rsidR="00F52FE8" w:rsidRDefault="00F52FE8" w:rsidP="00AB2D5C">
            <w:pPr>
              <w:pBdr>
                <w:top w:val="nil"/>
                <w:left w:val="nil"/>
                <w:bottom w:val="nil"/>
                <w:right w:val="nil"/>
                <w:between w:val="nil"/>
              </w:pBdr>
              <w:jc w:val="right"/>
              <w:rPr>
                <w:b/>
                <w:i/>
                <w:color w:val="000000"/>
                <w:sz w:val="20"/>
                <w:szCs w:val="20"/>
              </w:rPr>
            </w:pPr>
          </w:p>
          <w:p w:rsidR="00F52FE8" w:rsidRDefault="00F52FE8">
            <w:pPr>
              <w:pBdr>
                <w:top w:val="nil"/>
                <w:left w:val="nil"/>
                <w:bottom w:val="nil"/>
                <w:right w:val="nil"/>
                <w:between w:val="nil"/>
              </w:pBdr>
              <w:rPr>
                <w:b/>
                <w:i/>
                <w:color w:val="000000"/>
                <w:sz w:val="20"/>
                <w:szCs w:val="20"/>
              </w:rPr>
            </w:pPr>
          </w:p>
          <w:p w:rsidR="00F52FE8" w:rsidRDefault="00F52FE8">
            <w:pPr>
              <w:pBdr>
                <w:top w:val="nil"/>
                <w:left w:val="nil"/>
                <w:bottom w:val="nil"/>
                <w:right w:val="nil"/>
                <w:between w:val="nil"/>
              </w:pBdr>
              <w:rPr>
                <w:b/>
                <w:i/>
                <w:color w:val="000000"/>
                <w:sz w:val="20"/>
                <w:szCs w:val="20"/>
              </w:rPr>
            </w:pPr>
          </w:p>
          <w:p w:rsidR="00F52FE8" w:rsidRDefault="00F52FE8">
            <w:pPr>
              <w:pBdr>
                <w:top w:val="nil"/>
                <w:left w:val="nil"/>
                <w:bottom w:val="nil"/>
                <w:right w:val="nil"/>
                <w:between w:val="nil"/>
              </w:pBdr>
              <w:rPr>
                <w:b/>
                <w:i/>
                <w:color w:val="000000"/>
                <w:sz w:val="20"/>
                <w:szCs w:val="20"/>
              </w:rPr>
            </w:pPr>
          </w:p>
          <w:p w:rsidR="00F52FE8" w:rsidRDefault="00F52FE8">
            <w:pPr>
              <w:pBdr>
                <w:top w:val="nil"/>
                <w:left w:val="nil"/>
                <w:bottom w:val="nil"/>
                <w:right w:val="nil"/>
                <w:between w:val="nil"/>
              </w:pBdr>
              <w:rPr>
                <w:b/>
                <w:i/>
                <w:color w:val="000000"/>
                <w:sz w:val="20"/>
                <w:szCs w:val="20"/>
              </w:rPr>
            </w:pPr>
          </w:p>
          <w:p w:rsidR="00F52FE8" w:rsidRDefault="00F52FE8" w:rsidP="00AB2D5C">
            <w:pPr>
              <w:pBdr>
                <w:top w:val="nil"/>
                <w:left w:val="nil"/>
                <w:bottom w:val="nil"/>
                <w:right w:val="nil"/>
                <w:between w:val="nil"/>
              </w:pBdr>
              <w:rPr>
                <w:b/>
                <w:i/>
                <w:color w:val="FF0000"/>
                <w:sz w:val="20"/>
                <w:szCs w:val="20"/>
              </w:rPr>
            </w:pPr>
          </w:p>
        </w:tc>
        <w:tc>
          <w:tcPr>
            <w:tcW w:w="3119" w:type="dxa"/>
            <w:vMerge w:val="restart"/>
            <w:tcMar>
              <w:top w:w="57" w:type="dxa"/>
              <w:bottom w:w="57" w:type="dxa"/>
            </w:tcMar>
          </w:tcPr>
          <w:p w:rsidR="00F52FE8" w:rsidRDefault="00F52FE8">
            <w:pPr>
              <w:rPr>
                <w:sz w:val="20"/>
                <w:szCs w:val="20"/>
              </w:rPr>
            </w:pPr>
            <w:r>
              <w:rPr>
                <w:sz w:val="20"/>
                <w:szCs w:val="20"/>
              </w:rPr>
              <w:t>69% of pupils across the school regularly accessed daily, remote learning using the Seesaw app and the online resources purchased.</w:t>
            </w:r>
            <w:bookmarkStart w:id="0" w:name="_GoBack"/>
            <w:bookmarkEnd w:id="0"/>
          </w:p>
        </w:tc>
        <w:tc>
          <w:tcPr>
            <w:tcW w:w="1134" w:type="dxa"/>
            <w:tcMar>
              <w:top w:w="57" w:type="dxa"/>
              <w:bottom w:w="57" w:type="dxa"/>
            </w:tcMar>
          </w:tcPr>
          <w:p w:rsidR="00F52FE8" w:rsidRDefault="00F52FE8">
            <w:pPr>
              <w:rPr>
                <w:sz w:val="20"/>
                <w:szCs w:val="20"/>
              </w:rPr>
            </w:pPr>
          </w:p>
          <w:p w:rsidR="00F52FE8" w:rsidRDefault="00F52FE8">
            <w:pPr>
              <w:rPr>
                <w:sz w:val="20"/>
                <w:szCs w:val="20"/>
              </w:rPr>
            </w:pPr>
          </w:p>
          <w:p w:rsidR="00F52FE8" w:rsidRDefault="00F52FE8">
            <w:pPr>
              <w:rPr>
                <w:sz w:val="20"/>
                <w:szCs w:val="20"/>
              </w:rPr>
            </w:pPr>
            <w:r>
              <w:rPr>
                <w:sz w:val="20"/>
                <w:szCs w:val="20"/>
              </w:rPr>
              <w:t>ME/SD</w:t>
            </w:r>
          </w:p>
          <w:p w:rsidR="00F52FE8" w:rsidRDefault="00F52FE8">
            <w:pPr>
              <w:rPr>
                <w:sz w:val="20"/>
                <w:szCs w:val="20"/>
              </w:rPr>
            </w:pPr>
          </w:p>
          <w:p w:rsidR="00F52FE8" w:rsidRDefault="00F52FE8">
            <w:pPr>
              <w:rPr>
                <w:sz w:val="20"/>
                <w:szCs w:val="20"/>
              </w:rPr>
            </w:pPr>
          </w:p>
          <w:p w:rsidR="00F52FE8" w:rsidRDefault="00F52FE8">
            <w:pPr>
              <w:rPr>
                <w:sz w:val="20"/>
                <w:szCs w:val="20"/>
              </w:rPr>
            </w:pPr>
          </w:p>
          <w:p w:rsidR="00F52FE8" w:rsidRDefault="00F52FE8">
            <w:pPr>
              <w:rPr>
                <w:sz w:val="20"/>
                <w:szCs w:val="20"/>
              </w:rPr>
            </w:pPr>
          </w:p>
          <w:p w:rsidR="00F52FE8" w:rsidRDefault="00F52FE8">
            <w:pPr>
              <w:rPr>
                <w:sz w:val="20"/>
                <w:szCs w:val="20"/>
              </w:rPr>
            </w:pPr>
          </w:p>
          <w:p w:rsidR="00F52FE8" w:rsidRDefault="00F52FE8">
            <w:pPr>
              <w:rPr>
                <w:sz w:val="20"/>
                <w:szCs w:val="20"/>
              </w:rPr>
            </w:pPr>
          </w:p>
          <w:p w:rsidR="00F52FE8" w:rsidRDefault="00F52FE8">
            <w:pPr>
              <w:rPr>
                <w:sz w:val="20"/>
                <w:szCs w:val="20"/>
              </w:rPr>
            </w:pPr>
          </w:p>
        </w:tc>
        <w:tc>
          <w:tcPr>
            <w:tcW w:w="1097" w:type="dxa"/>
          </w:tcPr>
          <w:p w:rsidR="00F52FE8" w:rsidRDefault="00F52FE8">
            <w:pPr>
              <w:rPr>
                <w:sz w:val="20"/>
                <w:szCs w:val="20"/>
              </w:rPr>
            </w:pPr>
          </w:p>
          <w:p w:rsidR="00F52FE8" w:rsidRDefault="00F52FE8">
            <w:pPr>
              <w:rPr>
                <w:sz w:val="20"/>
                <w:szCs w:val="20"/>
              </w:rPr>
            </w:pPr>
          </w:p>
          <w:p w:rsidR="00F52FE8" w:rsidRDefault="00F52FE8">
            <w:pPr>
              <w:rPr>
                <w:sz w:val="20"/>
                <w:szCs w:val="20"/>
              </w:rPr>
            </w:pPr>
            <w:r>
              <w:rPr>
                <w:sz w:val="20"/>
                <w:szCs w:val="20"/>
              </w:rPr>
              <w:t>Apr 21</w:t>
            </w:r>
          </w:p>
          <w:p w:rsidR="00F52FE8" w:rsidRDefault="00F52FE8">
            <w:pPr>
              <w:rPr>
                <w:sz w:val="20"/>
                <w:szCs w:val="20"/>
              </w:rPr>
            </w:pPr>
          </w:p>
          <w:p w:rsidR="00F52FE8" w:rsidRDefault="00F52FE8">
            <w:pPr>
              <w:rPr>
                <w:sz w:val="20"/>
                <w:szCs w:val="20"/>
              </w:rPr>
            </w:pPr>
          </w:p>
          <w:p w:rsidR="00F52FE8" w:rsidRDefault="00F52FE8">
            <w:pPr>
              <w:rPr>
                <w:sz w:val="20"/>
                <w:szCs w:val="20"/>
              </w:rPr>
            </w:pPr>
          </w:p>
          <w:p w:rsidR="00F52FE8" w:rsidRDefault="00F52FE8">
            <w:pPr>
              <w:rPr>
                <w:sz w:val="20"/>
                <w:szCs w:val="20"/>
              </w:rPr>
            </w:pPr>
          </w:p>
          <w:p w:rsidR="00F52FE8" w:rsidRDefault="00F52FE8">
            <w:pPr>
              <w:rPr>
                <w:sz w:val="20"/>
                <w:szCs w:val="20"/>
              </w:rPr>
            </w:pPr>
          </w:p>
          <w:p w:rsidR="00F52FE8" w:rsidRDefault="00F52FE8">
            <w:pPr>
              <w:rPr>
                <w:sz w:val="20"/>
                <w:szCs w:val="20"/>
              </w:rPr>
            </w:pPr>
          </w:p>
          <w:p w:rsidR="00F52FE8" w:rsidRDefault="00F52FE8">
            <w:pPr>
              <w:rPr>
                <w:sz w:val="20"/>
                <w:szCs w:val="20"/>
              </w:rPr>
            </w:pPr>
          </w:p>
        </w:tc>
      </w:tr>
      <w:tr w:rsidR="00F52FE8">
        <w:tc>
          <w:tcPr>
            <w:tcW w:w="4957" w:type="dxa"/>
            <w:tcMar>
              <w:top w:w="57" w:type="dxa"/>
              <w:bottom w:w="57" w:type="dxa"/>
            </w:tcMar>
          </w:tcPr>
          <w:p w:rsidR="00F52FE8" w:rsidRDefault="00F52FE8">
            <w:pPr>
              <w:rPr>
                <w:sz w:val="20"/>
                <w:szCs w:val="20"/>
                <w:u w:val="single"/>
              </w:rPr>
            </w:pPr>
            <w:r>
              <w:rPr>
                <w:sz w:val="20"/>
                <w:szCs w:val="20"/>
                <w:u w:val="single"/>
              </w:rPr>
              <w:t xml:space="preserve">Access to technology </w:t>
            </w:r>
          </w:p>
          <w:p w:rsidR="00F52FE8" w:rsidRDefault="00F52FE8">
            <w:pPr>
              <w:rPr>
                <w:sz w:val="20"/>
                <w:szCs w:val="20"/>
              </w:rPr>
            </w:pPr>
          </w:p>
          <w:p w:rsidR="00F52FE8" w:rsidRDefault="00F52FE8">
            <w:pPr>
              <w:rPr>
                <w:sz w:val="20"/>
                <w:szCs w:val="20"/>
              </w:rPr>
            </w:pPr>
            <w:r>
              <w:rPr>
                <w:sz w:val="20"/>
                <w:szCs w:val="20"/>
              </w:rPr>
              <w:t xml:space="preserve">To enable quality remote learning to be accessed from home. To ensure that pupils become totally confident in the use of the Seesaw platform in order to minimise the </w:t>
            </w:r>
            <w:r>
              <w:rPr>
                <w:sz w:val="20"/>
                <w:szCs w:val="20"/>
              </w:rPr>
              <w:lastRenderedPageBreak/>
              <w:t>impact of any periods of self-isolation or future possible lockdowns.</w:t>
            </w:r>
          </w:p>
          <w:p w:rsidR="00F52FE8" w:rsidRDefault="00F52FE8">
            <w:pPr>
              <w:rPr>
                <w:sz w:val="20"/>
                <w:szCs w:val="20"/>
              </w:rPr>
            </w:pPr>
          </w:p>
          <w:p w:rsidR="00F52FE8" w:rsidRDefault="00F52FE8">
            <w:pPr>
              <w:rPr>
                <w:sz w:val="20"/>
                <w:szCs w:val="20"/>
              </w:rPr>
            </w:pPr>
            <w:r>
              <w:rPr>
                <w:sz w:val="20"/>
                <w:szCs w:val="20"/>
              </w:rPr>
              <w:t>To support staff wellbeing and maintain a manageable workload with the functionality of the full version of the app.</w:t>
            </w:r>
          </w:p>
          <w:p w:rsidR="00F52FE8" w:rsidRDefault="00F52FE8">
            <w:pPr>
              <w:rPr>
                <w:sz w:val="20"/>
                <w:szCs w:val="20"/>
              </w:rPr>
            </w:pPr>
          </w:p>
        </w:tc>
        <w:tc>
          <w:tcPr>
            <w:tcW w:w="4824" w:type="dxa"/>
            <w:tcMar>
              <w:top w:w="57" w:type="dxa"/>
              <w:bottom w:w="57" w:type="dxa"/>
            </w:tcMar>
          </w:tcPr>
          <w:p w:rsidR="00F52FE8" w:rsidRDefault="00F52FE8">
            <w:pPr>
              <w:pBdr>
                <w:top w:val="nil"/>
                <w:left w:val="nil"/>
                <w:bottom w:val="nil"/>
                <w:right w:val="nil"/>
                <w:between w:val="nil"/>
              </w:pBdr>
              <w:rPr>
                <w:b/>
                <w:i/>
                <w:color w:val="000000"/>
                <w:sz w:val="20"/>
                <w:szCs w:val="20"/>
              </w:rPr>
            </w:pPr>
            <w:r>
              <w:rPr>
                <w:b/>
                <w:i/>
                <w:color w:val="000000"/>
                <w:sz w:val="20"/>
                <w:szCs w:val="20"/>
              </w:rPr>
              <w:lastRenderedPageBreak/>
              <w:t xml:space="preserve">Purchase the full version of Seesaw for use for pupil homework and to be used during self-isolation or </w:t>
            </w:r>
            <w:proofErr w:type="spellStart"/>
            <w:r>
              <w:rPr>
                <w:b/>
                <w:i/>
                <w:color w:val="000000"/>
                <w:sz w:val="20"/>
                <w:szCs w:val="20"/>
              </w:rPr>
              <w:t>locjdown</w:t>
            </w:r>
            <w:proofErr w:type="spellEnd"/>
          </w:p>
          <w:p w:rsidR="00F52FE8" w:rsidRPr="005114F5" w:rsidRDefault="00F52FE8">
            <w:pPr>
              <w:pBdr>
                <w:top w:val="nil"/>
                <w:left w:val="nil"/>
                <w:bottom w:val="nil"/>
                <w:right w:val="nil"/>
                <w:between w:val="nil"/>
              </w:pBdr>
              <w:jc w:val="right"/>
              <w:rPr>
                <w:b/>
                <w:i/>
                <w:color w:val="FF0000"/>
                <w:sz w:val="20"/>
                <w:szCs w:val="20"/>
              </w:rPr>
            </w:pPr>
            <w:r>
              <w:rPr>
                <w:b/>
                <w:i/>
                <w:color w:val="FF0000"/>
                <w:sz w:val="20"/>
                <w:szCs w:val="20"/>
              </w:rPr>
              <w:t>£990</w:t>
            </w:r>
            <w:r w:rsidRPr="005114F5">
              <w:rPr>
                <w:b/>
                <w:i/>
                <w:color w:val="FF0000"/>
                <w:sz w:val="20"/>
                <w:szCs w:val="20"/>
              </w:rPr>
              <w:t xml:space="preserve"> </w:t>
            </w:r>
          </w:p>
          <w:p w:rsidR="00F52FE8" w:rsidRDefault="00F52FE8">
            <w:pPr>
              <w:pBdr>
                <w:top w:val="nil"/>
                <w:left w:val="nil"/>
                <w:bottom w:val="nil"/>
                <w:right w:val="nil"/>
                <w:between w:val="nil"/>
              </w:pBdr>
              <w:jc w:val="right"/>
              <w:rPr>
                <w:b/>
                <w:i/>
                <w:color w:val="FF0000"/>
                <w:sz w:val="20"/>
                <w:szCs w:val="20"/>
              </w:rPr>
            </w:pPr>
          </w:p>
        </w:tc>
        <w:tc>
          <w:tcPr>
            <w:tcW w:w="3119" w:type="dxa"/>
            <w:vMerge/>
            <w:tcMar>
              <w:top w:w="57" w:type="dxa"/>
              <w:bottom w:w="57" w:type="dxa"/>
            </w:tcMar>
          </w:tcPr>
          <w:p w:rsidR="00F52FE8" w:rsidRDefault="00F52FE8">
            <w:pPr>
              <w:rPr>
                <w:sz w:val="20"/>
                <w:szCs w:val="20"/>
              </w:rPr>
            </w:pPr>
          </w:p>
        </w:tc>
        <w:tc>
          <w:tcPr>
            <w:tcW w:w="1134" w:type="dxa"/>
            <w:tcMar>
              <w:top w:w="57" w:type="dxa"/>
              <w:bottom w:w="57" w:type="dxa"/>
            </w:tcMar>
          </w:tcPr>
          <w:p w:rsidR="00F52FE8" w:rsidRDefault="00F52FE8">
            <w:pPr>
              <w:rPr>
                <w:sz w:val="20"/>
                <w:szCs w:val="20"/>
              </w:rPr>
            </w:pPr>
          </w:p>
          <w:p w:rsidR="00F52FE8" w:rsidRDefault="00F52FE8">
            <w:pPr>
              <w:rPr>
                <w:sz w:val="20"/>
                <w:szCs w:val="20"/>
              </w:rPr>
            </w:pPr>
          </w:p>
          <w:p w:rsidR="00F52FE8" w:rsidRDefault="00F52FE8">
            <w:pPr>
              <w:rPr>
                <w:sz w:val="20"/>
                <w:szCs w:val="20"/>
              </w:rPr>
            </w:pPr>
            <w:r>
              <w:rPr>
                <w:sz w:val="20"/>
                <w:szCs w:val="20"/>
              </w:rPr>
              <w:t>ME/CS</w:t>
            </w:r>
          </w:p>
          <w:p w:rsidR="00F52FE8" w:rsidRDefault="00F52FE8">
            <w:pPr>
              <w:rPr>
                <w:sz w:val="20"/>
                <w:szCs w:val="20"/>
              </w:rPr>
            </w:pPr>
          </w:p>
          <w:p w:rsidR="00F52FE8" w:rsidRDefault="00F52FE8">
            <w:pPr>
              <w:rPr>
                <w:sz w:val="20"/>
                <w:szCs w:val="20"/>
              </w:rPr>
            </w:pPr>
          </w:p>
          <w:p w:rsidR="00F52FE8" w:rsidRDefault="00F52FE8">
            <w:pPr>
              <w:rPr>
                <w:sz w:val="20"/>
                <w:szCs w:val="20"/>
              </w:rPr>
            </w:pPr>
          </w:p>
          <w:p w:rsidR="00F52FE8" w:rsidRDefault="00F52FE8">
            <w:pPr>
              <w:rPr>
                <w:sz w:val="20"/>
                <w:szCs w:val="20"/>
              </w:rPr>
            </w:pPr>
          </w:p>
          <w:p w:rsidR="00F52FE8" w:rsidRDefault="00F52FE8">
            <w:pPr>
              <w:rPr>
                <w:sz w:val="20"/>
                <w:szCs w:val="20"/>
              </w:rPr>
            </w:pPr>
          </w:p>
        </w:tc>
        <w:tc>
          <w:tcPr>
            <w:tcW w:w="1097" w:type="dxa"/>
          </w:tcPr>
          <w:p w:rsidR="00F52FE8" w:rsidRDefault="00F52FE8">
            <w:pPr>
              <w:rPr>
                <w:sz w:val="20"/>
                <w:szCs w:val="20"/>
              </w:rPr>
            </w:pPr>
          </w:p>
          <w:p w:rsidR="00F52FE8" w:rsidRDefault="00F52FE8">
            <w:pPr>
              <w:rPr>
                <w:sz w:val="20"/>
                <w:szCs w:val="20"/>
              </w:rPr>
            </w:pPr>
          </w:p>
          <w:p w:rsidR="00F52FE8" w:rsidRDefault="00F52FE8">
            <w:pPr>
              <w:rPr>
                <w:sz w:val="20"/>
                <w:szCs w:val="20"/>
              </w:rPr>
            </w:pPr>
            <w:r>
              <w:rPr>
                <w:sz w:val="20"/>
                <w:szCs w:val="20"/>
              </w:rPr>
              <w:t>Apr 21</w:t>
            </w:r>
          </w:p>
          <w:p w:rsidR="00F52FE8" w:rsidRDefault="00F52FE8">
            <w:pPr>
              <w:rPr>
                <w:sz w:val="20"/>
                <w:szCs w:val="20"/>
              </w:rPr>
            </w:pPr>
          </w:p>
          <w:p w:rsidR="00F52FE8" w:rsidRDefault="00F52FE8">
            <w:pPr>
              <w:rPr>
                <w:sz w:val="20"/>
                <w:szCs w:val="20"/>
              </w:rPr>
            </w:pPr>
          </w:p>
        </w:tc>
      </w:tr>
      <w:tr w:rsidR="00F11F99">
        <w:tc>
          <w:tcPr>
            <w:tcW w:w="14034" w:type="dxa"/>
            <w:gridSpan w:val="4"/>
            <w:tcMar>
              <w:top w:w="57" w:type="dxa"/>
              <w:bottom w:w="57" w:type="dxa"/>
            </w:tcMar>
          </w:tcPr>
          <w:p w:rsidR="00F11F99" w:rsidRDefault="00F2056D">
            <w:pPr>
              <w:jc w:val="right"/>
              <w:rPr>
                <w:b/>
                <w:sz w:val="20"/>
                <w:szCs w:val="20"/>
              </w:rPr>
            </w:pPr>
            <w:r>
              <w:rPr>
                <w:b/>
                <w:sz w:val="20"/>
                <w:szCs w:val="20"/>
              </w:rPr>
              <w:t>Total budgeted cost</w:t>
            </w:r>
          </w:p>
        </w:tc>
        <w:tc>
          <w:tcPr>
            <w:tcW w:w="1097" w:type="dxa"/>
          </w:tcPr>
          <w:p w:rsidR="00F11F99" w:rsidRDefault="00F2056D" w:rsidP="00376333">
            <w:pPr>
              <w:rPr>
                <w:b/>
                <w:sz w:val="20"/>
                <w:szCs w:val="20"/>
              </w:rPr>
            </w:pPr>
            <w:r>
              <w:rPr>
                <w:b/>
                <w:color w:val="FF0000"/>
                <w:sz w:val="20"/>
                <w:szCs w:val="20"/>
              </w:rPr>
              <w:t xml:space="preserve">£ </w:t>
            </w:r>
            <w:r w:rsidR="00E311B0">
              <w:rPr>
                <w:b/>
                <w:color w:val="FF0000"/>
                <w:sz w:val="20"/>
                <w:szCs w:val="20"/>
              </w:rPr>
              <w:t>17,485</w:t>
            </w:r>
          </w:p>
        </w:tc>
      </w:tr>
      <w:tr w:rsidR="00F11F99">
        <w:tc>
          <w:tcPr>
            <w:tcW w:w="9781" w:type="dxa"/>
            <w:gridSpan w:val="2"/>
          </w:tcPr>
          <w:p w:rsidR="00F11F99" w:rsidRDefault="00F11F99">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F11F99" w:rsidRDefault="00F2056D">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F11F99" w:rsidRDefault="00F2056D" w:rsidP="00376333">
            <w:pPr>
              <w:rPr>
                <w:b/>
                <w:color w:val="FF0000"/>
                <w:sz w:val="20"/>
                <w:szCs w:val="20"/>
              </w:rPr>
            </w:pPr>
            <w:r>
              <w:rPr>
                <w:b/>
                <w:color w:val="FF0000"/>
                <w:sz w:val="20"/>
                <w:szCs w:val="20"/>
              </w:rPr>
              <w:t>£</w:t>
            </w:r>
            <w:r w:rsidR="00E311B0">
              <w:rPr>
                <w:b/>
                <w:color w:val="FF0000"/>
                <w:sz w:val="20"/>
                <w:szCs w:val="20"/>
              </w:rPr>
              <w:t>14,560</w:t>
            </w:r>
          </w:p>
        </w:tc>
      </w:tr>
      <w:tr w:rsidR="00F11F99">
        <w:tc>
          <w:tcPr>
            <w:tcW w:w="9781" w:type="dxa"/>
            <w:gridSpan w:val="2"/>
          </w:tcPr>
          <w:p w:rsidR="00F11F99" w:rsidRDefault="00F11F99">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F11F99" w:rsidRDefault="00F2056D">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rsidR="00F11F99" w:rsidRDefault="00AB2D5C">
            <w:pPr>
              <w:rPr>
                <w:b/>
                <w:color w:val="FF0000"/>
                <w:sz w:val="20"/>
                <w:szCs w:val="20"/>
              </w:rPr>
            </w:pPr>
            <w:r>
              <w:rPr>
                <w:b/>
                <w:sz w:val="20"/>
                <w:szCs w:val="20"/>
              </w:rPr>
              <w:t>£</w:t>
            </w:r>
            <w:r w:rsidR="00E311B0">
              <w:rPr>
                <w:b/>
                <w:sz w:val="20"/>
                <w:szCs w:val="20"/>
              </w:rPr>
              <w:t>2,925</w:t>
            </w:r>
          </w:p>
        </w:tc>
      </w:tr>
      <w:tr w:rsidR="00F11F99" w:rsidTr="00FE3302">
        <w:tc>
          <w:tcPr>
            <w:tcW w:w="9781" w:type="dxa"/>
            <w:gridSpan w:val="2"/>
          </w:tcPr>
          <w:p w:rsidR="00F11F99" w:rsidRDefault="00F11F99">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FF0000"/>
            <w:tcMar>
              <w:top w:w="57" w:type="dxa"/>
              <w:bottom w:w="57" w:type="dxa"/>
            </w:tcMar>
          </w:tcPr>
          <w:p w:rsidR="00F11F99" w:rsidRDefault="00F11F99">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FF0000"/>
          </w:tcPr>
          <w:p w:rsidR="00F11F99" w:rsidRDefault="00F11F99">
            <w:pPr>
              <w:rPr>
                <w:b/>
                <w:sz w:val="20"/>
                <w:szCs w:val="20"/>
              </w:rPr>
            </w:pPr>
          </w:p>
        </w:tc>
      </w:tr>
    </w:tbl>
    <w:p w:rsidR="00F11F99" w:rsidRDefault="00F11F99">
      <w:pPr>
        <w:rPr>
          <w:sz w:val="18"/>
          <w:szCs w:val="18"/>
        </w:rPr>
      </w:pPr>
    </w:p>
    <w:sectPr w:rsidR="00F11F99">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2E8"/>
    <w:multiLevelType w:val="multilevel"/>
    <w:tmpl w:val="F1109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F46D16"/>
    <w:multiLevelType w:val="multilevel"/>
    <w:tmpl w:val="6BDAF0F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1668F9"/>
    <w:multiLevelType w:val="multilevel"/>
    <w:tmpl w:val="EFFE9DB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034590"/>
    <w:multiLevelType w:val="multilevel"/>
    <w:tmpl w:val="C29EC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C4396D"/>
    <w:multiLevelType w:val="multilevel"/>
    <w:tmpl w:val="A112B254"/>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99"/>
    <w:rsid w:val="00022E05"/>
    <w:rsid w:val="000C2733"/>
    <w:rsid w:val="000F2C19"/>
    <w:rsid w:val="000F524C"/>
    <w:rsid w:val="001633E9"/>
    <w:rsid w:val="00196228"/>
    <w:rsid w:val="001E033C"/>
    <w:rsid w:val="001F0334"/>
    <w:rsid w:val="00235D66"/>
    <w:rsid w:val="00244ED2"/>
    <w:rsid w:val="00322DEE"/>
    <w:rsid w:val="00376333"/>
    <w:rsid w:val="003A164B"/>
    <w:rsid w:val="0045617B"/>
    <w:rsid w:val="0049534C"/>
    <w:rsid w:val="004E24E7"/>
    <w:rsid w:val="004F1FB4"/>
    <w:rsid w:val="005114F5"/>
    <w:rsid w:val="00546EFA"/>
    <w:rsid w:val="00562A7C"/>
    <w:rsid w:val="00567CCC"/>
    <w:rsid w:val="005B0723"/>
    <w:rsid w:val="0061056B"/>
    <w:rsid w:val="00684CA1"/>
    <w:rsid w:val="0069508A"/>
    <w:rsid w:val="006B0FEC"/>
    <w:rsid w:val="006D2BF6"/>
    <w:rsid w:val="006E3763"/>
    <w:rsid w:val="006E7D73"/>
    <w:rsid w:val="008164C2"/>
    <w:rsid w:val="00827195"/>
    <w:rsid w:val="008469CC"/>
    <w:rsid w:val="00877968"/>
    <w:rsid w:val="008A251F"/>
    <w:rsid w:val="00961B9F"/>
    <w:rsid w:val="009C6B29"/>
    <w:rsid w:val="00A641EF"/>
    <w:rsid w:val="00AB2D5C"/>
    <w:rsid w:val="00AC3762"/>
    <w:rsid w:val="00B33D26"/>
    <w:rsid w:val="00B643AA"/>
    <w:rsid w:val="00B75DB3"/>
    <w:rsid w:val="00BA33F7"/>
    <w:rsid w:val="00BA58EE"/>
    <w:rsid w:val="00C3578D"/>
    <w:rsid w:val="00C40F5D"/>
    <w:rsid w:val="00C65601"/>
    <w:rsid w:val="00CE1C61"/>
    <w:rsid w:val="00CF38DB"/>
    <w:rsid w:val="00D92234"/>
    <w:rsid w:val="00DC0DFB"/>
    <w:rsid w:val="00DF0D51"/>
    <w:rsid w:val="00E311B0"/>
    <w:rsid w:val="00E434EC"/>
    <w:rsid w:val="00EB48A6"/>
    <w:rsid w:val="00F11F99"/>
    <w:rsid w:val="00F2056D"/>
    <w:rsid w:val="00F412D3"/>
    <w:rsid w:val="00F52FE8"/>
    <w:rsid w:val="00FD7BE4"/>
    <w:rsid w:val="00FE3302"/>
    <w:rsid w:val="00FE3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D3FD"/>
  <w15:docId w15:val="{B14C6549-4C08-4300-B22C-482AFA8B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S Murphy</cp:lastModifiedBy>
  <cp:revision>9</cp:revision>
  <cp:lastPrinted>2020-12-09T13:22:00Z</cp:lastPrinted>
  <dcterms:created xsi:type="dcterms:W3CDTF">2022-02-21T15:23:00Z</dcterms:created>
  <dcterms:modified xsi:type="dcterms:W3CDTF">2022-03-07T19:10:00Z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